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3E19" w14:textId="1CCA4941" w:rsidR="006B3ED7" w:rsidRPr="00D068FC" w:rsidRDefault="006B3ED7" w:rsidP="0034490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Приложение № 1.2</w:t>
      </w:r>
    </w:p>
    <w:p w14:paraId="053C4B48" w14:textId="77777777" w:rsidR="006B3ED7" w:rsidRPr="00D068FC" w:rsidRDefault="006B3ED7" w:rsidP="0034490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к Регламенту брокерского обслуживания</w:t>
      </w:r>
    </w:p>
    <w:p w14:paraId="7520C8EB" w14:textId="77777777" w:rsidR="006B3ED7" w:rsidRPr="00D068FC" w:rsidRDefault="006B3ED7" w:rsidP="006B3ED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D068FC">
        <w:rPr>
          <w:rFonts w:ascii="Times New Roman" w:hAnsi="Times New Roman"/>
          <w:sz w:val="16"/>
          <w:szCs w:val="16"/>
        </w:rPr>
        <w:t>ООО «УК «Горизонт»</w:t>
      </w:r>
    </w:p>
    <w:tbl>
      <w:tblPr>
        <w:tblpPr w:leftFromText="180" w:rightFromText="180" w:vertAnchor="page" w:horzAnchor="margin" w:tblpY="1406"/>
        <w:tblW w:w="5079" w:type="pct"/>
        <w:tblLook w:val="04A0" w:firstRow="1" w:lastRow="0" w:firstColumn="1" w:lastColumn="0" w:noHBand="0" w:noVBand="1"/>
      </w:tblPr>
      <w:tblGrid>
        <w:gridCol w:w="3400"/>
        <w:gridCol w:w="2270"/>
        <w:gridCol w:w="3828"/>
      </w:tblGrid>
      <w:tr w:rsidR="000B6B66" w:rsidRPr="005B5089" w14:paraId="6E1E9E78" w14:textId="77777777" w:rsidTr="00852282">
        <w:trPr>
          <w:trHeight w:val="843"/>
        </w:trPr>
        <w:tc>
          <w:tcPr>
            <w:tcW w:w="1790" w:type="pct"/>
            <w:vMerge w:val="restart"/>
            <w:tcBorders>
              <w:right w:val="single" w:sz="4" w:space="0" w:color="auto"/>
            </w:tcBorders>
          </w:tcPr>
          <w:p w14:paraId="43172C1F" w14:textId="01918C0E" w:rsidR="000B6B66" w:rsidRPr="00D068FC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FBCD" w14:textId="5B858742" w:rsidR="000B6B66" w:rsidRPr="00D068FC" w:rsidRDefault="000B6B66" w:rsidP="006E5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hAnsi="Times New Roman"/>
                <w:b/>
                <w:sz w:val="20"/>
                <w:szCs w:val="20"/>
              </w:rPr>
              <w:t>Заявление о</w:t>
            </w:r>
            <w:r w:rsidR="00102031" w:rsidRPr="00D068FC">
              <w:rPr>
                <w:rFonts w:ascii="Times New Roman" w:hAnsi="Times New Roman"/>
                <w:b/>
                <w:sz w:val="20"/>
                <w:szCs w:val="20"/>
              </w:rPr>
              <w:t xml:space="preserve">б изменении условий </w:t>
            </w:r>
            <w:r w:rsidR="00E258A6" w:rsidRPr="00D068FC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="00102031" w:rsidRPr="00D068FC">
              <w:rPr>
                <w:rFonts w:ascii="Times New Roman" w:hAnsi="Times New Roman"/>
                <w:b/>
                <w:sz w:val="20"/>
                <w:szCs w:val="20"/>
              </w:rPr>
              <w:t>рокерского обслуживания</w:t>
            </w:r>
          </w:p>
        </w:tc>
      </w:tr>
      <w:tr w:rsidR="000B6B66" w:rsidRPr="005B5089" w14:paraId="5E1E95DF" w14:textId="77777777" w:rsidTr="00852282">
        <w:trPr>
          <w:trHeight w:val="423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2C839392" w14:textId="77777777" w:rsidR="000B6B66" w:rsidRPr="00D068FC" w:rsidRDefault="000B6B66" w:rsidP="004F3AC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0661" w14:textId="14B89022" w:rsidR="000B6B66" w:rsidRPr="00D068FC" w:rsidRDefault="000B6B66" w:rsidP="006B3ED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hAnsi="Times New Roman"/>
                <w:sz w:val="16"/>
                <w:szCs w:val="16"/>
              </w:rPr>
              <w:t>в Общество с ограниченной ответственностью «</w:t>
            </w:r>
            <w:r w:rsidR="006B3ED7" w:rsidRPr="00D068FC">
              <w:rPr>
                <w:rFonts w:ascii="Times New Roman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FA09D9" w:rsidRPr="005B5089" w14:paraId="1D568852" w14:textId="77777777" w:rsidTr="00852282">
        <w:trPr>
          <w:trHeight w:val="418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28718969" w14:textId="77777777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0D99" w14:textId="6B048BBC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ФИО / Полное наименование Клиента: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B3C0" w14:textId="77777777" w:rsidR="000B6B66" w:rsidRPr="00D068FC" w:rsidRDefault="000B6B66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6B66" w:rsidRPr="005B5089" w14:paraId="41A52FE7" w14:textId="77777777" w:rsidTr="00852282">
        <w:trPr>
          <w:trHeight w:val="418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780B801E" w14:textId="77777777" w:rsidR="000B6B66" w:rsidRPr="00D068FC" w:rsidRDefault="000B6B66" w:rsidP="004F3ACF">
            <w:pPr>
              <w:spacing w:after="0" w:line="240" w:lineRule="auto"/>
              <w:jc w:val="right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  <w:tc>
          <w:tcPr>
            <w:tcW w:w="3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B89C" w14:textId="2B8C2432" w:rsidR="000B6B66" w:rsidRPr="00D068FC" w:rsidRDefault="00897703" w:rsidP="004F3A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812866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4C9F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0B6B66" w:rsidRPr="00D068FC">
              <w:rPr>
                <w:rFonts w:ascii="Times New Roman" w:hAnsi="Times New Roman"/>
                <w:sz w:val="16"/>
                <w:szCs w:val="16"/>
              </w:rPr>
              <w:t>Действую в качестве доверительного управляющего</w:t>
            </w:r>
          </w:p>
          <w:p w14:paraId="490AE2A2" w14:textId="77777777" w:rsidR="000B6B66" w:rsidRPr="00D068FC" w:rsidRDefault="000B6B66" w:rsidP="004F3A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068FC">
              <w:rPr>
                <w:rFonts w:ascii="Times New Roman" w:hAnsi="Times New Roman"/>
                <w:sz w:val="16"/>
                <w:szCs w:val="16"/>
              </w:rPr>
              <w:t xml:space="preserve">Наименование имущества – объекта доверительного управления 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</w:tr>
      <w:tr w:rsidR="00FA09D9" w:rsidRPr="005B5089" w14:paraId="3F002AF0" w14:textId="77777777" w:rsidTr="00852282">
        <w:trPr>
          <w:trHeight w:val="505"/>
        </w:trPr>
        <w:tc>
          <w:tcPr>
            <w:tcW w:w="1790" w:type="pct"/>
            <w:vMerge/>
            <w:tcBorders>
              <w:right w:val="single" w:sz="4" w:space="0" w:color="auto"/>
            </w:tcBorders>
          </w:tcPr>
          <w:p w14:paraId="49430961" w14:textId="7777777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BE98" w14:textId="6C3F08D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Дата Заявления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8BF0" w14:textId="77777777" w:rsidR="002E431B" w:rsidRPr="00D068FC" w:rsidRDefault="002E431B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09D9" w:rsidRPr="005B5089" w14:paraId="2ADDB7DE" w14:textId="77777777" w:rsidTr="00852282">
        <w:trPr>
          <w:trHeight w:val="505"/>
        </w:trPr>
        <w:tc>
          <w:tcPr>
            <w:tcW w:w="1790" w:type="pct"/>
            <w:tcBorders>
              <w:right w:val="single" w:sz="4" w:space="0" w:color="auto"/>
            </w:tcBorders>
          </w:tcPr>
          <w:p w14:paraId="35D90A55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2948" w14:textId="16E38D6D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Дата Договора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9728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09D9" w:rsidRPr="005B5089" w14:paraId="0C21892E" w14:textId="77777777" w:rsidTr="00852282">
        <w:trPr>
          <w:trHeight w:val="505"/>
        </w:trPr>
        <w:tc>
          <w:tcPr>
            <w:tcW w:w="1790" w:type="pct"/>
            <w:tcBorders>
              <w:right w:val="single" w:sz="4" w:space="0" w:color="auto"/>
            </w:tcBorders>
          </w:tcPr>
          <w:p w14:paraId="78261D9F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5A90" w14:textId="32B556E8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8FC">
              <w:rPr>
                <w:rFonts w:ascii="Times New Roman" w:hAnsi="Times New Roma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459F" w14:textId="77777777" w:rsidR="00102031" w:rsidRPr="00D068FC" w:rsidRDefault="00102031" w:rsidP="004F3A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2CB2019" w14:textId="77777777" w:rsidR="00601B9E" w:rsidRPr="00D068FC" w:rsidRDefault="00601B9E" w:rsidP="00743667">
      <w:pPr>
        <w:pStyle w:val="a4"/>
        <w:tabs>
          <w:tab w:val="left" w:pos="1134"/>
        </w:tabs>
        <w:spacing w:line="240" w:lineRule="auto"/>
        <w:ind w:left="1287"/>
        <w:rPr>
          <w:rFonts w:ascii="Times New Roman" w:hAnsi="Times New Roman"/>
          <w:sz w:val="20"/>
          <w:szCs w:val="20"/>
        </w:rPr>
      </w:pPr>
    </w:p>
    <w:p w14:paraId="4621CCAA" w14:textId="7CAC05FC" w:rsidR="00B74268" w:rsidRPr="00D068FC" w:rsidRDefault="00B74268" w:rsidP="00B74268">
      <w:pPr>
        <w:pStyle w:val="a4"/>
        <w:numPr>
          <w:ilvl w:val="0"/>
          <w:numId w:val="1"/>
        </w:numPr>
        <w:tabs>
          <w:tab w:val="left" w:pos="1134"/>
        </w:tabs>
        <w:spacing w:line="240" w:lineRule="auto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Единый лимит 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(условие доступно только для Договоров о 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Pr="00D068FC">
        <w:rPr>
          <w:rFonts w:ascii="Times New Roman" w:eastAsia="MS Gothic" w:hAnsi="Times New Roman"/>
          <w:i/>
          <w:sz w:val="20"/>
          <w:szCs w:val="20"/>
        </w:rPr>
        <w:t>рокерском обслуживании, условия которых изложены в Приложениях № 2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.1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 и 2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.1</w:t>
      </w:r>
      <w:r w:rsidRPr="00D068FC">
        <w:rPr>
          <w:rFonts w:ascii="Times New Roman" w:eastAsia="MS Gothic" w:hAnsi="Times New Roman"/>
          <w:i/>
          <w:sz w:val="20"/>
          <w:szCs w:val="20"/>
        </w:rPr>
        <w:t xml:space="preserve"> Регламента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 xml:space="preserve"> брокерского обслуживания</w:t>
      </w:r>
      <w:r w:rsidRPr="00D068FC">
        <w:rPr>
          <w:rFonts w:ascii="Times New Roman" w:eastAsia="MS Gothic" w:hAnsi="Times New Roman"/>
          <w:i/>
          <w:sz w:val="20"/>
          <w:szCs w:val="20"/>
        </w:rPr>
        <w:t>)</w:t>
      </w:r>
    </w:p>
    <w:tbl>
      <w:tblPr>
        <w:tblW w:w="9432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32"/>
      </w:tblGrid>
      <w:tr w:rsidR="00B74268" w:rsidRPr="005B5089" w14:paraId="73652F91" w14:textId="77777777" w:rsidTr="00852282">
        <w:trPr>
          <w:trHeight w:val="421"/>
        </w:trPr>
        <w:tc>
          <w:tcPr>
            <w:tcW w:w="9432" w:type="dxa"/>
          </w:tcPr>
          <w:p w14:paraId="26C287EA" w14:textId="213F5317" w:rsidR="00B74268" w:rsidRPr="00D068FC" w:rsidRDefault="00897703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02178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26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прошу </w:t>
            </w:r>
            <w:sdt>
              <w:sdtPr>
                <w:rPr>
                  <w:rFonts w:ascii="Times New Roman" w:eastAsia="MS Gothic" w:hAnsi="Times New Roman"/>
                  <w:b/>
                  <w:i/>
                  <w:color w:val="FF0000"/>
                  <w:sz w:val="16"/>
                  <w:szCs w:val="16"/>
                </w:rPr>
                <w:id w:val="-816874443"/>
                <w:placeholder>
                  <w:docPart w:val="169110AA3E60411FBADE7382000448CB"/>
                </w:placeholder>
                <w:comboBox>
                  <w:listItem w:displayText="выберите вариант" w:value="выберите вариант"/>
                  <w:listItem w:displayText="оказывать" w:value="оказывать"/>
                  <w:listItem w:displayText="прекратить оказывать" w:value="прекратить оказывать"/>
                </w:comboBox>
              </w:sdtPr>
              <w:sdtEndPr/>
              <w:sdtContent>
                <w:r w:rsidR="00232731" w:rsidRPr="00D068FC">
                  <w:rPr>
                    <w:rFonts w:ascii="Times New Roman" w:eastAsia="MS Gothic" w:hAnsi="Times New Roman"/>
                    <w:b/>
                    <w:i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F70D4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мне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рокерское обслуживание на условиях Единого лимита (условие брокерского обслуживания, при котором денежные средства, обязательства и задолженность Клиента перед Компанией, входящие в Портфель фондового рынка-1 и в Портфель валютного рынка</w:t>
            </w:r>
            <w:r w:rsidR="003B780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рынка драгоценных металлов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, объединяются для целей определения достаточности денежных средств Клиента для совершения сделок с ценными бумагами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инструментами валютного рынка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и рынка драгоценных металлов на Ф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ондовом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рынке и 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алютном рынк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е и рынке драгоценных металлов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>я Биржа, а также на внебиржевом рынке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>).</w:t>
            </w:r>
          </w:p>
          <w:p w14:paraId="0FE4E691" w14:textId="2141AE1E" w:rsidR="00B74268" w:rsidRPr="00D068FC" w:rsidRDefault="00232731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Предоставление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рокерского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обслуживани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я</w:t>
            </w:r>
            <w:r w:rsidR="00B7426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 условиях Единого лимита означает, что</w:t>
            </w:r>
          </w:p>
          <w:p w14:paraId="5B6DF1E3" w14:textId="2B86F280" w:rsidR="00B74268" w:rsidRPr="00D068FC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 поручает, а Компания регистрирует Клиента в торговых системах: ПАО Московская Биржа: Сектор фондового рынка и ПАО Московская Биржа: Валютный рынок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рынок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при этом Клиент вправе зарегистрироваться и в других Торговых системах.</w:t>
            </w:r>
          </w:p>
          <w:p w14:paraId="23E5678F" w14:textId="77777777" w:rsidR="00B74268" w:rsidRPr="00D068FC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Клиенту не предоставляется возможность совершения необеспеченных сделок.</w:t>
            </w:r>
          </w:p>
          <w:p w14:paraId="4A1B5079" w14:textId="3B0369A1" w:rsidR="00B74268" w:rsidRPr="00D068FC" w:rsidRDefault="00B74268" w:rsidP="00852282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Возможность совершения Клиентом сделок 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Ф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>ондовом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рынке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алютном рынке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рынке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Московская Биржа, </w:t>
            </w:r>
            <w:r w:rsidR="002335B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а также на внебиржевом рынке,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определяется достаточностью денежных средств в соответствующей валюте (с учетом обязательств, срок исполнения которых наступил), учитываемых как в Портфелей фондового рынка-1, так и в Портфеле валютного рынка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рынка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5F810337" w14:textId="6BAB2714" w:rsidR="00232731" w:rsidRPr="00D068FC" w:rsidRDefault="00232731" w:rsidP="001450B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Клиент, отказавшийся от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рокерского обслуживания на условиях </w:t>
            </w:r>
            <w:proofErr w:type="gram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Единого лимита</w:t>
            </w:r>
            <w:proofErr w:type="gram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сохранят право подавать поручения на совершение сделок на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Ф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ондовом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рынке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алютном 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рынке и рынке драгоценных металлов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ПАО Московская Биржа на общих основаниях.</w:t>
            </w:r>
          </w:p>
        </w:tc>
      </w:tr>
    </w:tbl>
    <w:p w14:paraId="7F47D712" w14:textId="77777777" w:rsidR="00B74268" w:rsidRPr="00D068FC" w:rsidRDefault="00B74268" w:rsidP="00852282">
      <w:pPr>
        <w:tabs>
          <w:tab w:val="left" w:pos="1134"/>
        </w:tabs>
        <w:spacing w:line="240" w:lineRule="auto"/>
        <w:jc w:val="both"/>
        <w:rPr>
          <w:rFonts w:ascii="Times New Roman" w:eastAsia="MS Gothic" w:hAnsi="Times New Roman"/>
          <w:sz w:val="16"/>
          <w:szCs w:val="16"/>
        </w:rPr>
      </w:pPr>
    </w:p>
    <w:p w14:paraId="61DA4526" w14:textId="491B4736" w:rsidR="00BA3898" w:rsidRPr="00D068FC" w:rsidRDefault="00574625" w:rsidP="00852282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Изменения </w:t>
      </w:r>
      <w:r w:rsidR="006C75C3" w:rsidRPr="00D068FC">
        <w:rPr>
          <w:rFonts w:ascii="Times New Roman" w:eastAsia="MS Gothic" w:hAnsi="Times New Roman"/>
          <w:sz w:val="20"/>
          <w:szCs w:val="20"/>
        </w:rPr>
        <w:t>в торговых системах</w:t>
      </w:r>
      <w:r w:rsidR="00C74605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 xml:space="preserve">(Клиентам, </w:t>
      </w:r>
      <w:r w:rsidR="006B3ED7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рокерское обслуживание которых осуществляется на условиях Единого лимита</w:t>
      </w:r>
      <w:r w:rsidR="004758A3" w:rsidRPr="00D068FC">
        <w:rPr>
          <w:rFonts w:ascii="Times New Roman" w:eastAsia="MS Gothic" w:hAnsi="Times New Roman"/>
          <w:i/>
          <w:sz w:val="20"/>
          <w:szCs w:val="20"/>
        </w:rPr>
        <w:t>, возможность отменить регистрацию на фондовом и валютном рынках ПАО Московская Биржа не предоставляется без отмены Единого лимита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)</w:t>
      </w:r>
      <w:r w:rsidR="006C75C3" w:rsidRPr="00D068FC">
        <w:rPr>
          <w:rFonts w:ascii="Times New Roman" w:eastAsia="MS Gothic" w:hAnsi="Times New Roman"/>
          <w:i/>
          <w:sz w:val="20"/>
          <w:szCs w:val="20"/>
        </w:rPr>
        <w:t>:</w:t>
      </w:r>
    </w:p>
    <w:tbl>
      <w:tblPr>
        <w:tblpPr w:leftFromText="180" w:rightFromText="180" w:vertAnchor="text" w:horzAnchor="margin" w:tblpY="213"/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914"/>
      </w:tblGrid>
      <w:tr w:rsidR="00574625" w:rsidRPr="005B5089" w14:paraId="655598BC" w14:textId="77777777" w:rsidTr="00E762AB">
        <w:trPr>
          <w:trHeight w:val="323"/>
        </w:trPr>
        <w:tc>
          <w:tcPr>
            <w:tcW w:w="94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01B129" w14:textId="74FE5B26" w:rsidR="00574625" w:rsidRPr="00D068FC" w:rsidRDefault="00574625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Прошу</w:t>
            </w:r>
            <w:r w:rsidR="00D844E3" w:rsidRPr="00D068FC">
              <w:rPr>
                <w:rFonts w:ascii="Times New Roman" w:eastAsia="MS Gothic" w:hAnsi="Times New Roman"/>
                <w:b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eastAsia="MS Gothic" w:hAnsi="Times New Roman"/>
                  <w:b/>
                  <w:i/>
                  <w:color w:val="FF0000"/>
                  <w:sz w:val="16"/>
                  <w:szCs w:val="16"/>
                </w:rPr>
                <w:id w:val="1831945397"/>
                <w:placeholder>
                  <w:docPart w:val="7E52357633914F15A4EEE03AD3BCA0D1"/>
                </w:placeholder>
                <w:comboBox>
                  <w:listItem w:displayText="выберите вариант" w:value="выберите вариант"/>
                  <w:listItem w:displayText="зарегистрировать" w:value="зарегистрировать"/>
                  <w:listItem w:displayText="отменить регистрацию" w:value="отменить регистрацию"/>
                </w:comboBox>
              </w:sdtPr>
              <w:sdtEndPr/>
              <w:sdtContent>
                <w:r w:rsidR="007E73C5" w:rsidRPr="00D068FC">
                  <w:rPr>
                    <w:rFonts w:ascii="Times New Roman" w:eastAsia="MS Gothic" w:hAnsi="Times New Roman"/>
                    <w:b/>
                    <w:i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D844E3" w:rsidRPr="00D068FC">
              <w:rPr>
                <w:rFonts w:ascii="Times New Roman" w:eastAsia="MS Gothic" w:hAnsi="Times New Roman"/>
                <w:b/>
                <w:sz w:val="16"/>
                <w:szCs w:val="16"/>
              </w:rPr>
              <w:t>:</w:t>
            </w:r>
          </w:p>
          <w:p w14:paraId="7B6528BF" w14:textId="72D90FFC" w:rsidR="00574625" w:rsidRPr="00D068FC" w:rsidRDefault="00574625" w:rsidP="004F7165">
            <w:pPr>
              <w:pStyle w:val="a4"/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3C6CFEA3" w14:textId="0B20879A" w:rsidR="00574625" w:rsidRPr="00D068FC" w:rsidRDefault="00574625" w:rsidP="00574625">
            <w:pPr>
              <w:pStyle w:val="a4"/>
              <w:ind w:left="0"/>
              <w:jc w:val="both"/>
              <w:rPr>
                <w:rFonts w:ascii="Times New Roman" w:eastAsia="MS Gothic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в следующей торговой системе (системах):</w:t>
            </w:r>
          </w:p>
          <w:p w14:paraId="2F623345" w14:textId="20AC4E97" w:rsidR="00574625" w:rsidRPr="00D068FC" w:rsidRDefault="00574625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</w:p>
        </w:tc>
      </w:tr>
      <w:tr w:rsidR="00574625" w:rsidRPr="005B5089" w14:paraId="092BE620" w14:textId="77777777" w:rsidTr="004F7165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183BE95E" w14:textId="5ADF34D1" w:rsidR="00574625" w:rsidRPr="00D068FC" w:rsidRDefault="00897703" w:rsidP="004F71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0614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9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747EA9" w14:textId="49922F4F" w:rsidR="00574625" w:rsidRPr="00D068FC" w:rsidRDefault="00A82807" w:rsidP="00A82807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</w:t>
            </w:r>
            <w:r w:rsidR="00574625" w:rsidRPr="00D068FC">
              <w:rPr>
                <w:rFonts w:ascii="Times New Roman" w:eastAsia="MS Gothic" w:hAnsi="Times New Roman"/>
                <w:sz w:val="16"/>
                <w:szCs w:val="16"/>
              </w:rPr>
              <w:t>: Сектор фондового рынка</w:t>
            </w:r>
          </w:p>
        </w:tc>
      </w:tr>
      <w:tr w:rsidR="00574625" w:rsidRPr="005B5089" w14:paraId="5853CE7B" w14:textId="77777777" w:rsidTr="004F7165">
        <w:trPr>
          <w:trHeight w:val="323"/>
        </w:trPr>
        <w:tc>
          <w:tcPr>
            <w:tcW w:w="562" w:type="dxa"/>
            <w:shd w:val="clear" w:color="auto" w:fill="auto"/>
            <w:vAlign w:val="center"/>
          </w:tcPr>
          <w:p w14:paraId="69A58CD9" w14:textId="101D3F77" w:rsidR="00574625" w:rsidRPr="00D068FC" w:rsidRDefault="00897703" w:rsidP="004F71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57134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9F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4C9F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94AB6" w14:textId="5C825A17" w:rsidR="00574625" w:rsidRPr="00D068FC" w:rsidRDefault="00AF3159" w:rsidP="00574625">
            <w:pPr>
              <w:pStyle w:val="a4"/>
              <w:spacing w:after="0" w:line="240" w:lineRule="auto"/>
              <w:ind w:left="0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ПАО Московская Биржа: Валютный рынок и рынок др</w:t>
            </w:r>
            <w:r w:rsidR="00E1097E" w:rsidRPr="00D068FC">
              <w:rPr>
                <w:rFonts w:ascii="Times New Roman" w:eastAsia="MS Gothic" w:hAnsi="Times New Roman"/>
                <w:sz w:val="16"/>
                <w:szCs w:val="16"/>
              </w:rPr>
              <w:t>агоценных металлов</w:t>
            </w:r>
            <w:r w:rsidR="00E1097E" w:rsidRPr="00D068FC">
              <w:rPr>
                <w:rStyle w:val="af5"/>
                <w:rFonts w:ascii="Times New Roman" w:eastAsia="MS Gothic" w:hAnsi="Times New Roman"/>
                <w:sz w:val="16"/>
                <w:szCs w:val="16"/>
              </w:rPr>
              <w:endnoteReference w:id="1"/>
            </w:r>
          </w:p>
        </w:tc>
      </w:tr>
    </w:tbl>
    <w:p w14:paraId="2B67F1E6" w14:textId="77777777" w:rsidR="008E01E6" w:rsidRPr="00D068FC" w:rsidRDefault="008E01E6" w:rsidP="008E01E6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b/>
          <w:sz w:val="20"/>
          <w:szCs w:val="20"/>
        </w:rPr>
      </w:pPr>
    </w:p>
    <w:p w14:paraId="4DB7BFF9" w14:textId="0FA56E04" w:rsidR="006C75C3" w:rsidRPr="00D068FC" w:rsidRDefault="00BA3898" w:rsidP="006C75C3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Предоставление доступа к </w:t>
      </w:r>
      <w:r w:rsidR="008F3CAB" w:rsidRPr="00D068FC">
        <w:rPr>
          <w:rFonts w:ascii="Times New Roman" w:eastAsia="MS Gothic" w:hAnsi="Times New Roman"/>
          <w:sz w:val="20"/>
          <w:szCs w:val="20"/>
        </w:rPr>
        <w:t>С</w:t>
      </w:r>
      <w:r w:rsidRPr="00D068FC">
        <w:rPr>
          <w:rFonts w:ascii="Times New Roman" w:eastAsia="MS Gothic" w:hAnsi="Times New Roman"/>
          <w:sz w:val="20"/>
          <w:szCs w:val="20"/>
        </w:rPr>
        <w:t xml:space="preserve">истеме </w:t>
      </w:r>
      <w:r w:rsidR="008F3CAB" w:rsidRPr="00D068FC">
        <w:rPr>
          <w:rFonts w:ascii="Times New Roman" w:eastAsia="MS Gothic" w:hAnsi="Times New Roman"/>
          <w:sz w:val="20"/>
          <w:szCs w:val="20"/>
        </w:rPr>
        <w:t>и</w:t>
      </w:r>
      <w:r w:rsidRPr="00D068FC">
        <w:rPr>
          <w:rFonts w:ascii="Times New Roman" w:eastAsia="MS Gothic" w:hAnsi="Times New Roman"/>
          <w:sz w:val="20"/>
          <w:szCs w:val="20"/>
        </w:rPr>
        <w:t xml:space="preserve">нтернет-трейдинга и права использования </w:t>
      </w:r>
      <w:r w:rsidR="008E01E6" w:rsidRPr="00D068FC">
        <w:rPr>
          <w:rFonts w:ascii="Times New Roman" w:eastAsia="MS Gothic" w:hAnsi="Times New Roman"/>
          <w:sz w:val="20"/>
          <w:szCs w:val="20"/>
        </w:rPr>
        <w:t>программного обеспечения</w:t>
      </w:r>
      <w:r w:rsidR="00F318A1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F318A1" w:rsidRPr="00D068FC">
        <w:rPr>
          <w:rFonts w:ascii="Times New Roman" w:eastAsia="MS Gothic" w:hAnsi="Times New Roman"/>
          <w:sz w:val="20"/>
          <w:szCs w:val="20"/>
          <w:lang w:val="en-US"/>
        </w:rPr>
        <w:t>QUIK</w:t>
      </w:r>
      <w:r w:rsidR="008E01E6" w:rsidRPr="00D068FC">
        <w:rPr>
          <w:rFonts w:ascii="Times New Roman" w:eastAsia="MS Gothic" w:hAnsi="Times New Roman"/>
          <w:sz w:val="16"/>
          <w:szCs w:val="16"/>
        </w:rPr>
        <w:t>:</w:t>
      </w:r>
    </w:p>
    <w:tbl>
      <w:tblPr>
        <w:tblW w:w="95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3"/>
      </w:tblGrid>
      <w:tr w:rsidR="0013457B" w:rsidRPr="005B5089" w14:paraId="5F92CC48" w14:textId="77777777" w:rsidTr="00E762AB">
        <w:trPr>
          <w:trHeight w:val="704"/>
        </w:trPr>
        <w:tc>
          <w:tcPr>
            <w:tcW w:w="95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4AA0F8" w14:textId="613A5A34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Выбирается один из представленных вариантов</w:t>
            </w:r>
          </w:p>
          <w:p w14:paraId="16A374EE" w14:textId="16F6E9C8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Вариант 1</w:t>
            </w:r>
          </w:p>
          <w:p w14:paraId="11CE030C" w14:textId="5123F6F3" w:rsidR="0013457B" w:rsidRPr="00D068FC" w:rsidRDefault="00897703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81363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226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82268" w:rsidRPr="00D068FC" w:rsidDel="00E82268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отметка о присоединении к </w:t>
            </w:r>
            <w:proofErr w:type="spellStart"/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Сублицензионному</w:t>
            </w:r>
            <w:proofErr w:type="spellEnd"/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договору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 использование программного обеспечения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</w:p>
          <w:p w14:paraId="2757A453" w14:textId="0F0B589F" w:rsidR="0013457B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Настоящим в соответствие со статьей 428 Гражданского кодекса РФ полностью принимаю условия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использование программного обеспечения 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(далее – </w:t>
            </w:r>
            <w:proofErr w:type="spellStart"/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Сублицензионный</w:t>
            </w:r>
            <w:proofErr w:type="spellEnd"/>
            <w:r w:rsidR="00F318A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договор),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форма и условия которого содержатся в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lastRenderedPageBreak/>
              <w:t xml:space="preserve">Регламенте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размещенном на странице Компании в сети Интернет по адресу: </w:t>
            </w:r>
            <w:hyperlink r:id="rId8" w:history="1">
              <w:r w:rsidR="00D71EB3" w:rsidRPr="00D068FC">
                <w:rPr>
                  <w:rStyle w:val="af8"/>
                  <w:rFonts w:ascii="Times New Roman" w:eastAsia="MS Gothic" w:hAnsi="Times New Roman"/>
                  <w:sz w:val="16"/>
                  <w:szCs w:val="16"/>
                </w:rPr>
                <w:t>https://www.ukhorizon.ru/</w:t>
              </w:r>
            </w:hyperlink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. С даты вступления в силу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договора, заключаемого на основании настоящего Заявления, принимаю на себя права и обязанности Сублицензиата, как они описаны в Приложении № </w:t>
            </w:r>
            <w:r w:rsidR="003A3680" w:rsidRPr="00D068FC">
              <w:rPr>
                <w:rFonts w:ascii="Times New Roman" w:eastAsia="MS Gothic" w:hAnsi="Times New Roman"/>
                <w:sz w:val="16"/>
                <w:szCs w:val="16"/>
              </w:rPr>
              <w:t>1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1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6B3ED7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0170CB5E" w14:textId="77777777" w:rsidR="00DF1653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Подписанием настоящего Заявления</w:t>
            </w:r>
            <w:r w:rsidR="00DF1653" w:rsidRPr="00D068FC">
              <w:rPr>
                <w:rFonts w:ascii="Times New Roman" w:eastAsia="MS Gothic" w:hAnsi="Times New Roman"/>
                <w:sz w:val="16"/>
                <w:szCs w:val="16"/>
              </w:rPr>
              <w:t>:</w:t>
            </w:r>
          </w:p>
          <w:p w14:paraId="6847CA22" w14:textId="28493054" w:rsidR="0013457B" w:rsidRPr="00D068FC" w:rsidRDefault="0013457B" w:rsidP="00E762AB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подтверждаю, что с условиями </w:t>
            </w:r>
            <w:proofErr w:type="spellStart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Сублицензионного</w:t>
            </w:r>
            <w:proofErr w:type="spellEnd"/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договора и Регламента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ознакомлен и согласен, их содержание мне полностью понятно</w:t>
            </w:r>
            <w:r w:rsidR="00DF1653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1B550B85" w14:textId="7F46BD2B" w:rsidR="004208C2" w:rsidRPr="00D068FC" w:rsidRDefault="00DF1653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предоставить доступ к Системе 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и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нтернет-трейдинга в соответствии с условиями Регламента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предоставить право использования</w:t>
            </w:r>
            <w:r w:rsidR="00484271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программного обеспечения Рабочее место </w:t>
            </w:r>
            <w:r w:rsidR="00484271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(количество лицензий (количество одновременно используемых экземпляров программного обеспечения Рабочее место QUIK)</w:t>
            </w:r>
            <w:r w:rsidR="00BF1363" w:rsidRPr="00D068FC">
              <w:rPr>
                <w:rFonts w:ascii="Times New Roman" w:eastAsia="MS Gothic" w:hAnsi="Times New Roman"/>
                <w:sz w:val="16"/>
                <w:szCs w:val="16"/>
              </w:rPr>
              <w:t>: 1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>)</w:t>
            </w:r>
            <w:r w:rsidR="0013457B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8A7AF1B" w14:textId="77777777" w:rsidR="004208C2" w:rsidRPr="00D068FC" w:rsidRDefault="004208C2" w:rsidP="004208C2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Вариант 2</w:t>
            </w:r>
          </w:p>
          <w:p w14:paraId="156D22FC" w14:textId="77777777" w:rsidR="004208C2" w:rsidRPr="00D068FC" w:rsidRDefault="00897703" w:rsidP="004208C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25894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8C2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208C2" w:rsidRPr="00D068FC" w:rsidDel="00844C9F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Общество с ограниченной ответственностью «Управляющая компания «Горизонт» изменить количество лицензий программного обеспечения Рабочее место </w:t>
            </w:r>
            <w:r w:rsidR="004208C2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</w:p>
          <w:p w14:paraId="7B5DFBD3" w14:textId="1DCB9869" w:rsidR="004208C2" w:rsidRPr="00D068FC" w:rsidRDefault="004208C2" w:rsidP="00D068F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необходимое количество лицензий программного обеспечения Рабочее место QUIK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eastAsia="MS Gothic" w:hAnsi="Times New Roman"/>
                  <w:b/>
                  <w:color w:val="FF0000"/>
                  <w:sz w:val="16"/>
                  <w:szCs w:val="16"/>
                </w:rPr>
                <w:id w:val="76332881"/>
                <w:placeholder>
                  <w:docPart w:val="5F358BDFB06A47DCA7C399698A896BD6"/>
                </w:placeholder>
                <w:comboBox>
                  <w:listItem w:displayText="0" w:value="0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comboBox>
              </w:sdtPr>
              <w:sdtEndPr/>
              <w:sdtContent>
                <w:r w:rsidRPr="00D068FC">
                  <w:rPr>
                    <w:rFonts w:ascii="Times New Roman" w:eastAsia="MS Gothic" w:hAnsi="Times New Roman"/>
                    <w:b/>
                    <w:color w:val="FF0000"/>
                    <w:sz w:val="16"/>
                    <w:szCs w:val="16"/>
                  </w:rPr>
                  <w:t>0</w:t>
                </w:r>
              </w:sdtContent>
            </w:sdt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(указывается итоговое (с учетом изменений) количество лицензий):</w:t>
            </w:r>
          </w:p>
        </w:tc>
      </w:tr>
    </w:tbl>
    <w:p w14:paraId="50109FB5" w14:textId="77777777" w:rsidR="0014531C" w:rsidRPr="00D068FC" w:rsidRDefault="0014531C" w:rsidP="004F7165">
      <w:pPr>
        <w:pStyle w:val="a4"/>
        <w:tabs>
          <w:tab w:val="left" w:pos="851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6C94AE04" w14:textId="7BB66402" w:rsidR="0014531C" w:rsidRPr="00D068FC" w:rsidRDefault="0014531C" w:rsidP="007E7937">
      <w:pPr>
        <w:pStyle w:val="a4"/>
        <w:numPr>
          <w:ilvl w:val="1"/>
          <w:numId w:val="18"/>
        </w:numPr>
        <w:tabs>
          <w:tab w:val="left" w:pos="851"/>
        </w:tabs>
        <w:ind w:left="851" w:hanging="425"/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 xml:space="preserve">Заявление о регистрации представителей - физических лиц в Системе </w:t>
      </w:r>
      <w:r w:rsidR="008F3CAB" w:rsidRPr="00D068FC">
        <w:rPr>
          <w:rFonts w:ascii="Times New Roman" w:eastAsia="MS Gothic" w:hAnsi="Times New Roman"/>
          <w:sz w:val="20"/>
          <w:szCs w:val="20"/>
        </w:rPr>
        <w:t>и</w:t>
      </w:r>
      <w:r w:rsidRPr="00D068FC">
        <w:rPr>
          <w:rFonts w:ascii="Times New Roman" w:eastAsia="MS Gothic" w:hAnsi="Times New Roman"/>
          <w:sz w:val="20"/>
          <w:szCs w:val="20"/>
        </w:rPr>
        <w:t>нтернет-</w:t>
      </w:r>
      <w:r w:rsidR="008F3CAB" w:rsidRPr="00D068FC">
        <w:rPr>
          <w:rFonts w:ascii="Times New Roman" w:eastAsia="MS Gothic" w:hAnsi="Times New Roman"/>
          <w:sz w:val="20"/>
          <w:szCs w:val="20"/>
        </w:rPr>
        <w:t>т</w:t>
      </w:r>
      <w:r w:rsidRPr="00D068FC">
        <w:rPr>
          <w:rFonts w:ascii="Times New Roman" w:eastAsia="MS Gothic" w:hAnsi="Times New Roman"/>
          <w:sz w:val="20"/>
          <w:szCs w:val="20"/>
        </w:rPr>
        <w:t>рейдинга</w:t>
      </w:r>
    </w:p>
    <w:p w14:paraId="1EE4B44F" w14:textId="3B5D34BC" w:rsidR="0014531C" w:rsidRPr="00D068FC" w:rsidRDefault="0014531C" w:rsidP="0014531C">
      <w:pPr>
        <w:tabs>
          <w:tab w:val="left" w:pos="709"/>
        </w:tabs>
        <w:ind w:left="360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16"/>
          <w:szCs w:val="16"/>
        </w:rPr>
        <w:t xml:space="preserve">(заполняется юридическими лицами, а также физическими лицами, намеревающимися использовать </w:t>
      </w:r>
      <w:r w:rsidRPr="00D068FC">
        <w:rPr>
          <w:rFonts w:ascii="Times New Roman" w:eastAsia="MS Gothic" w:hAnsi="Times New Roman"/>
          <w:sz w:val="16"/>
          <w:szCs w:val="16"/>
          <w:lang w:val="en-US"/>
        </w:rPr>
        <w:t>QUIK</w:t>
      </w:r>
      <w:r w:rsidRPr="00D068FC">
        <w:rPr>
          <w:rFonts w:ascii="Times New Roman" w:eastAsia="MS Gothic" w:hAnsi="Times New Roman"/>
          <w:sz w:val="16"/>
          <w:szCs w:val="16"/>
        </w:rPr>
        <w:t xml:space="preserve"> через св</w:t>
      </w:r>
      <w:r w:rsidR="00555691" w:rsidRPr="00D068FC">
        <w:rPr>
          <w:rFonts w:ascii="Times New Roman" w:eastAsia="MS Gothic" w:hAnsi="Times New Roman"/>
          <w:sz w:val="16"/>
          <w:szCs w:val="16"/>
        </w:rPr>
        <w:t>о</w:t>
      </w:r>
      <w:r w:rsidRPr="00D068FC">
        <w:rPr>
          <w:rFonts w:ascii="Times New Roman" w:eastAsia="MS Gothic" w:hAnsi="Times New Roman"/>
          <w:sz w:val="16"/>
          <w:szCs w:val="16"/>
        </w:rPr>
        <w:t>их уполномоченных представителей).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8E2AA2" w:rsidRPr="005B5089" w14:paraId="2DAC62FE" w14:textId="77777777" w:rsidTr="00E762AB">
        <w:tc>
          <w:tcPr>
            <w:tcW w:w="9498" w:type="dxa"/>
          </w:tcPr>
          <w:p w14:paraId="63D00DC4" w14:textId="08084C7E" w:rsidR="008E2AA2" w:rsidRPr="00D068FC" w:rsidRDefault="00897703" w:rsidP="00E762AB">
            <w:pPr>
              <w:pStyle w:val="a4"/>
              <w:tabs>
                <w:tab w:val="left" w:pos="709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5874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625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462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</w:t>
            </w:r>
            <w:sdt>
              <w:sdtPr>
                <w:rPr>
                  <w:rFonts w:ascii="Times New Roman" w:eastAsia="MS Gothic" w:hAnsi="Times New Roman"/>
                  <w:b/>
                  <w:color w:val="FF0000"/>
                  <w:sz w:val="16"/>
                  <w:szCs w:val="16"/>
                </w:rPr>
                <w:id w:val="-1555853169"/>
                <w:placeholder>
                  <w:docPart w:val="DefaultPlaceholder_1081868575"/>
                </w:placeholder>
                <w:comboBox>
                  <w:listItem w:displayText="выберите вариант" w:value="выберите вариант"/>
                  <w:listItem w:displayText="зарегистрировать" w:value="зарегистрировать"/>
                  <w:listItem w:displayText="отменить регистрацию" w:value="отменить регистрацию"/>
                </w:comboBox>
              </w:sdtPr>
              <w:sdtEndPr/>
              <w:sdtContent>
                <w:r w:rsidR="007E73C5" w:rsidRPr="00D068FC">
                  <w:rPr>
                    <w:rFonts w:ascii="Times New Roman" w:eastAsia="MS Gothic" w:hAnsi="Times New Roman"/>
                    <w:b/>
                    <w:color w:val="FF0000"/>
                    <w:sz w:val="16"/>
                    <w:szCs w:val="16"/>
                  </w:rPr>
                  <w:t>выберите вариант</w:t>
                </w:r>
              </w:sdtContent>
            </w:sdt>
            <w:r w:rsidR="00D844E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указанных ниже физических лиц в качестве уполномоченных представителей, имеющих право использовать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программное обеспечение Рабочее место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8E2AA2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770E18" w:rsidRPr="00D068FC">
              <w:rPr>
                <w:rFonts w:ascii="Times New Roman" w:eastAsia="MS Gothic" w:hAnsi="Times New Roman"/>
                <w:sz w:val="16"/>
                <w:szCs w:val="16"/>
              </w:rPr>
              <w:t>в соответствии с указанным видом учетной записи:</w:t>
            </w:r>
          </w:p>
          <w:p w14:paraId="3FAD13FC" w14:textId="77777777" w:rsidR="008E2AA2" w:rsidRPr="00D068FC" w:rsidRDefault="008E2AA2" w:rsidP="00E762AB">
            <w:pPr>
              <w:pStyle w:val="a4"/>
              <w:tabs>
                <w:tab w:val="left" w:pos="709"/>
              </w:tabs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26"/>
              <w:gridCol w:w="5980"/>
              <w:gridCol w:w="2835"/>
            </w:tblGrid>
            <w:tr w:rsidR="00D71EB3" w:rsidRPr="005B5089" w14:paraId="1A363576" w14:textId="77777777" w:rsidTr="00D71EB3">
              <w:tc>
                <w:tcPr>
                  <w:tcW w:w="426" w:type="dxa"/>
                  <w:vAlign w:val="center"/>
                </w:tcPr>
                <w:p w14:paraId="6DE48715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5980" w:type="dxa"/>
                  <w:vAlign w:val="center"/>
                </w:tcPr>
                <w:p w14:paraId="731F16FA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Фамилия, имя, отчество</w:t>
                  </w:r>
                </w:p>
              </w:tc>
              <w:tc>
                <w:tcPr>
                  <w:tcW w:w="2835" w:type="dxa"/>
                </w:tcPr>
                <w:p w14:paraId="3B6B30A6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  <w:r w:rsidRPr="00D068FC">
                    <w:rPr>
                      <w:rFonts w:ascii="Times New Roman" w:eastAsia="MS Gothic" w:hAnsi="Times New Roman"/>
                      <w:sz w:val="16"/>
                      <w:szCs w:val="16"/>
                    </w:rPr>
                    <w:t>Вид учетной записи</w:t>
                  </w:r>
                </w:p>
              </w:tc>
            </w:tr>
            <w:tr w:rsidR="00D71EB3" w:rsidRPr="005B5089" w14:paraId="26EB9C22" w14:textId="77777777" w:rsidTr="00D71EB3">
              <w:trPr>
                <w:trHeight w:val="227"/>
              </w:trPr>
              <w:tc>
                <w:tcPr>
                  <w:tcW w:w="426" w:type="dxa"/>
                  <w:vAlign w:val="center"/>
                </w:tcPr>
                <w:p w14:paraId="2CADAB96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1D9C6A6B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0980A2A0" w14:textId="088A9EF0" w:rsidR="00D71EB3" w:rsidRPr="00D068FC" w:rsidRDefault="0089770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16"/>
                      <w:szCs w:val="16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058131015"/>
                      <w:placeholder>
                        <w:docPart w:val="A83989CA783344338E3099A3D9DD63B7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  <w:tr w:rsidR="00D71EB3" w:rsidRPr="005B5089" w14:paraId="1F22F2AF" w14:textId="77777777" w:rsidTr="00D71EB3">
              <w:tc>
                <w:tcPr>
                  <w:tcW w:w="426" w:type="dxa"/>
                  <w:vAlign w:val="center"/>
                </w:tcPr>
                <w:p w14:paraId="37D18D2F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7D220CD4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72937CAD" w14:textId="2FC649A3" w:rsidR="00D71EB3" w:rsidRPr="00D068FC" w:rsidRDefault="0089770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20"/>
                      <w:szCs w:val="20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923986622"/>
                      <w:placeholder>
                        <w:docPart w:val="2A9B67DFDF7242DEB4456FF8A5D93501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  <w:tr w:rsidR="00D71EB3" w:rsidRPr="005B5089" w14:paraId="76C589BA" w14:textId="77777777" w:rsidTr="00D71EB3">
              <w:tc>
                <w:tcPr>
                  <w:tcW w:w="426" w:type="dxa"/>
                  <w:vAlign w:val="center"/>
                </w:tcPr>
                <w:p w14:paraId="1AC4E48A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0" w:type="dxa"/>
                  <w:vAlign w:val="center"/>
                </w:tcPr>
                <w:p w14:paraId="0E80481F" w14:textId="77777777" w:rsidR="00D71EB3" w:rsidRPr="00D068FC" w:rsidRDefault="00D71EB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</w:tcPr>
                <w:p w14:paraId="5166FB5A" w14:textId="2D265EC5" w:rsidR="00D71EB3" w:rsidRPr="00D068FC" w:rsidRDefault="00897703" w:rsidP="00E762AB">
                  <w:pPr>
                    <w:pStyle w:val="a4"/>
                    <w:spacing w:after="0"/>
                    <w:ind w:left="0"/>
                    <w:rPr>
                      <w:rFonts w:ascii="Times New Roman" w:eastAsia="MS Gothic" w:hAnsi="Times New Roman"/>
                      <w:color w:val="FF0000"/>
                      <w:sz w:val="20"/>
                      <w:szCs w:val="20"/>
                    </w:rPr>
                  </w:pPr>
                  <w:sdt>
                    <w:sdtPr>
                      <w:rPr>
                        <w:rFonts w:ascii="Times New Roman" w:eastAsia="MS Gothic" w:hAnsi="Times New Roman"/>
                        <w:b/>
                        <w:color w:val="FF0000"/>
                        <w:sz w:val="16"/>
                        <w:szCs w:val="16"/>
                      </w:rPr>
                      <w:id w:val="1852602510"/>
                      <w:placeholder>
                        <w:docPart w:val="B72C04A909D14534AF9CFE4F91421874"/>
                      </w:placeholder>
                      <w:comboBox>
                        <w:listItem w:displayText="-" w:value="-"/>
                        <w:listItem w:displayText="с правом подачи любых поручений, предусмотренных ПО QUIK" w:value="с правом подачи любых поручений, предусмотренных ПО QUIK"/>
                        <w:listItem w:displayText="просмотровый режим (без права подачи поручений)" w:value="просмотровый режим (без права подачи поручений)"/>
                      </w:comboBox>
                    </w:sdtPr>
                    <w:sdtEndPr/>
                    <w:sdtContent>
                      <w:r w:rsidR="00D71EB3" w:rsidRPr="00D068FC">
                        <w:rPr>
                          <w:rFonts w:ascii="Times New Roman" w:eastAsia="MS Gothic" w:hAnsi="Times New Roman"/>
                          <w:b/>
                          <w:color w:val="FF0000"/>
                          <w:sz w:val="16"/>
                          <w:szCs w:val="16"/>
                        </w:rPr>
                        <w:t>-</w:t>
                      </w:r>
                    </w:sdtContent>
                  </w:sdt>
                </w:p>
              </w:tc>
            </w:tr>
          </w:tbl>
          <w:p w14:paraId="6588E14C" w14:textId="3D73AA43" w:rsidR="00D844E3" w:rsidRPr="00D068FC" w:rsidRDefault="00D844E3" w:rsidP="00D844E3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Объем полномочий определяется уставом либо доверенностью, при этом вид учетной записи «просмотровый режим (без права подачи поручений)» исключает возможность подачи каких-либо поручений через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программное обеспечение Рабочее место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вне зависимости от наличия соответствующих полномочий в представленных документах.</w:t>
            </w:r>
          </w:p>
          <w:p w14:paraId="581EB477" w14:textId="77777777" w:rsidR="008E2AA2" w:rsidRPr="00D068FC" w:rsidRDefault="008E2AA2" w:rsidP="008E2AA2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На каждого из указанных в настоящем пункте физических лиц должна быть представлена (1) анкета физического лица, подписанная самим физическим лицом, и (2) копия основного документа, удостоверяющего его личность.</w:t>
            </w:r>
          </w:p>
          <w:p w14:paraId="2CFE2A60" w14:textId="4873053E" w:rsidR="008E2AA2" w:rsidRPr="00D068FC" w:rsidRDefault="008E2AA2" w:rsidP="008E2AA2">
            <w:pPr>
              <w:pStyle w:val="a4"/>
              <w:numPr>
                <w:ilvl w:val="0"/>
                <w:numId w:val="13"/>
              </w:numPr>
              <w:tabs>
                <w:tab w:val="left" w:pos="709"/>
              </w:tabs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Клиенты – физические лица вправе указать представителей при условии, что между представителем и О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бществом с ограниченной ответственностью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» заключен договор о брокерском обслуживании.</w:t>
            </w:r>
          </w:p>
        </w:tc>
      </w:tr>
    </w:tbl>
    <w:p w14:paraId="682C6AA4" w14:textId="77777777" w:rsidR="00C75CC7" w:rsidRPr="00D068FC" w:rsidRDefault="00C75CC7" w:rsidP="00A47905">
      <w:pPr>
        <w:pStyle w:val="a4"/>
        <w:spacing w:after="0"/>
        <w:jc w:val="both"/>
        <w:rPr>
          <w:rFonts w:ascii="Times New Roman" w:eastAsia="MS Gothic" w:hAnsi="Times New Roman"/>
          <w:sz w:val="20"/>
          <w:szCs w:val="20"/>
        </w:rPr>
      </w:pPr>
    </w:p>
    <w:p w14:paraId="15FA570D" w14:textId="77777777" w:rsidR="00911D04" w:rsidRPr="00D068FC" w:rsidRDefault="00911D04" w:rsidP="007E7937">
      <w:pPr>
        <w:pStyle w:val="a4"/>
        <w:numPr>
          <w:ilvl w:val="1"/>
          <w:numId w:val="18"/>
        </w:numPr>
        <w:tabs>
          <w:tab w:val="left" w:pos="851"/>
        </w:tabs>
        <w:ind w:left="851" w:hanging="425"/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Заявление о создании учетной записи рабочего места QUIK</w:t>
      </w:r>
    </w:p>
    <w:p w14:paraId="3FEA5AAD" w14:textId="7D2F9040" w:rsidR="00911D04" w:rsidRPr="00D068FC" w:rsidRDefault="00911D04" w:rsidP="004F7165">
      <w:pPr>
        <w:tabs>
          <w:tab w:val="left" w:pos="709"/>
        </w:tabs>
        <w:ind w:left="426"/>
        <w:jc w:val="both"/>
        <w:rPr>
          <w:rFonts w:ascii="Times New Roman" w:eastAsia="MS Gothic" w:hAnsi="Times New Roman"/>
          <w:sz w:val="16"/>
          <w:szCs w:val="16"/>
        </w:rPr>
      </w:pPr>
      <w:r w:rsidRPr="00D068FC">
        <w:rPr>
          <w:rFonts w:ascii="Times New Roman" w:eastAsia="MS Gothic" w:hAnsi="Times New Roman"/>
          <w:sz w:val="16"/>
          <w:szCs w:val="16"/>
        </w:rPr>
        <w:t xml:space="preserve">(заполняется физическими лицами, намеревающимися использовать </w:t>
      </w:r>
      <w:r w:rsidR="00D71EB3" w:rsidRPr="00D068FC">
        <w:rPr>
          <w:rFonts w:ascii="Times New Roman" w:eastAsia="MS Gothic" w:hAnsi="Times New Roman"/>
          <w:sz w:val="16"/>
          <w:szCs w:val="16"/>
        </w:rPr>
        <w:t>программное обеспечение Рабочее место</w:t>
      </w:r>
      <w:r w:rsidRPr="00D068FC">
        <w:rPr>
          <w:rFonts w:ascii="Times New Roman" w:eastAsia="MS Gothic" w:hAnsi="Times New Roman"/>
          <w:sz w:val="16"/>
          <w:szCs w:val="16"/>
        </w:rPr>
        <w:t xml:space="preserve"> </w:t>
      </w:r>
      <w:r w:rsidRPr="00D068FC">
        <w:rPr>
          <w:rFonts w:ascii="Times New Roman" w:eastAsia="MS Gothic" w:hAnsi="Times New Roman"/>
          <w:sz w:val="16"/>
          <w:szCs w:val="16"/>
          <w:lang w:val="en-US"/>
        </w:rPr>
        <w:t>QUIK</w:t>
      </w:r>
      <w:r w:rsidRPr="00D068FC">
        <w:rPr>
          <w:rFonts w:ascii="Times New Roman" w:eastAsia="MS Gothic" w:hAnsi="Times New Roman"/>
          <w:sz w:val="16"/>
          <w:szCs w:val="16"/>
        </w:rPr>
        <w:t>)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11D04" w:rsidRPr="005B5089" w14:paraId="644D17CB" w14:textId="77777777" w:rsidTr="00E762AB">
        <w:tc>
          <w:tcPr>
            <w:tcW w:w="9498" w:type="dxa"/>
          </w:tcPr>
          <w:p w14:paraId="1CA5673B" w14:textId="2FEB8119" w:rsidR="00911D04" w:rsidRPr="00D068FC" w:rsidRDefault="00897703" w:rsidP="00E762AB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20"/>
                <w:szCs w:val="20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1379778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625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4625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создать учетную запись для работы в Системе 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и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нтернет-</w:t>
            </w:r>
            <w:r w:rsidR="008F3CAB" w:rsidRPr="00D068FC">
              <w:rPr>
                <w:rFonts w:ascii="Times New Roman" w:eastAsia="MS Gothic" w:hAnsi="Times New Roman"/>
                <w:sz w:val="16"/>
                <w:szCs w:val="16"/>
              </w:rPr>
              <w:t>т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рейдинга через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программное обеспечение Рабочее место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="00911D0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1B13DE8A" w14:textId="55D1E1EB" w:rsidR="00911D04" w:rsidRPr="00D068FC" w:rsidRDefault="00911D04" w:rsidP="00911D04">
            <w:pPr>
              <w:pStyle w:val="a4"/>
              <w:autoSpaceDE w:val="0"/>
              <w:autoSpaceDN w:val="0"/>
              <w:adjustRightInd w:val="0"/>
              <w:spacing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Подписанием настоящего Заявления обязуюсь обеспечивать конфиденциальность ключа простой электронной подписи, используемой в работе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программного обеспечения Рабочее место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QUIK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QUIK: связка логин (имя пользователя) - пароль и код, отправляемый посредством сервиса коротких сообщений (СМС) на номер мобильного телефона (при его использовании).</w:t>
            </w:r>
          </w:p>
        </w:tc>
      </w:tr>
    </w:tbl>
    <w:p w14:paraId="0B68B17F" w14:textId="174779CC" w:rsidR="00272A68" w:rsidRPr="00D068FC" w:rsidRDefault="00272A68" w:rsidP="00AE1FF4">
      <w:pPr>
        <w:tabs>
          <w:tab w:val="left" w:pos="851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04415434" w14:textId="25621AD8" w:rsidR="00D03A88" w:rsidRPr="00D068FC" w:rsidRDefault="00D03A88" w:rsidP="005277C8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Предоставление/отказ от предоставления Компании права использования в своих интересах денежных средств и/или ценных бумаг Клиента</w:t>
      </w:r>
      <w:r w:rsidR="002D514A" w:rsidRPr="00D068FC">
        <w:rPr>
          <w:rFonts w:ascii="Times New Roman" w:eastAsia="MS Gothic" w:hAnsi="Times New Roman"/>
          <w:sz w:val="20"/>
          <w:szCs w:val="20"/>
        </w:rPr>
        <w:t>. Уведомление о рисках использования брокером в своих интересах денежных средств и/или ценных бумаг клиента</w:t>
      </w:r>
    </w:p>
    <w:p w14:paraId="6F20537A" w14:textId="77777777" w:rsidR="00D03A88" w:rsidRPr="00D068FC" w:rsidRDefault="00D03A88" w:rsidP="00F73E18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tbl>
      <w:tblPr>
        <w:tblStyle w:val="af6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D03A88" w:rsidRPr="005B5089" w14:paraId="713196B7" w14:textId="77777777" w:rsidTr="00F73E18">
        <w:tc>
          <w:tcPr>
            <w:tcW w:w="9493" w:type="dxa"/>
          </w:tcPr>
          <w:p w14:paraId="5067574F" w14:textId="6C7993F3" w:rsidR="00D03A88" w:rsidRPr="00D068FC" w:rsidRDefault="00D03A88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Отказ от предоставления Компании права использования в своих интересах денежных средств и/или ценных бумаг Клиента</w:t>
            </w:r>
          </w:p>
          <w:p w14:paraId="0F2DB3F6" w14:textId="77777777" w:rsidR="00627307" w:rsidRPr="00D068FC" w:rsidRDefault="00627307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2F518CEB" w14:textId="77777777" w:rsidR="00310DB4" w:rsidRPr="00D068FC" w:rsidRDefault="00897703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276256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A8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3A8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выражаю свой отказ от предоставления Компании права использования в своих интересах денежных средств Клиента</w:t>
            </w:r>
            <w:r w:rsidR="00310DB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60CA0AF4" w14:textId="13F861C0" w:rsidR="00D03A88" w:rsidRPr="00D068FC" w:rsidRDefault="00310DB4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случае, если на дату отказа от предоставления Компании права использования в своих интересах денежных средств Клиента, Компания обладает правом использования в своих интересах ценных бумаг Клиента, отк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аз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от предоставления Компании права использования в своих интересах денежных средств Клиента 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является отказом Клиента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от предоставления Компании права использования в своих интер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есах ценных бумаг Клиента</w:t>
            </w: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. 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</w:t>
            </w:r>
            <w:r w:rsidR="007F05E4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 xml:space="preserve"> ниже</w:t>
            </w:r>
            <w:r w:rsidR="00BF35E7"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.</w:t>
            </w:r>
          </w:p>
          <w:p w14:paraId="70AD1286" w14:textId="6EE46C76" w:rsidR="00D03A88" w:rsidRPr="00D068FC" w:rsidRDefault="00897703" w:rsidP="00F73E18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6909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A88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3A88" w:rsidRPr="00D068FC" w:rsidDel="00806534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D03A88" w:rsidRPr="00D068FC">
              <w:rPr>
                <w:rFonts w:ascii="Times New Roman" w:eastAsia="MS Gothic" w:hAnsi="Times New Roman"/>
                <w:sz w:val="16"/>
                <w:szCs w:val="16"/>
              </w:rPr>
              <w:t>Настоящим выражаю свой отказ от предоставления Компании права использования в своих интересах ценных бумаг Клиента</w:t>
            </w:r>
          </w:p>
          <w:p w14:paraId="1A7ED26F" w14:textId="286F9101" w:rsidR="00662D15" w:rsidRPr="00D068FC" w:rsidRDefault="00662D15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Реализуя свое право на отказ от предоставления Компании права использования в своих интересах денежных средств и/или ценных бумаг Клиента, Клиенту следует учитывать, что, если иное не установлено соглашением между Компанией и Клиентом, такой отказ влечет невозможность совершения Клиентом Сделок, указанных в п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ункте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1.5.7 Регламента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559DB711" w14:textId="1610B866" w:rsidR="00D03A88" w:rsidRPr="00D068FC" w:rsidRDefault="00D03A88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об отказе от предоставления Компании права использования в своих интересах денежных сре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>дств и/или ценных бумаг Клиента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Клиент подтверждает, что он ознакомился с последствиями такого отказа</w:t>
            </w:r>
          </w:p>
          <w:p w14:paraId="38A5A9EF" w14:textId="77777777" w:rsidR="00627307" w:rsidRPr="00D068FC" w:rsidRDefault="00627307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6CFBF867" w14:textId="77777777" w:rsidR="00627307" w:rsidRPr="00D068FC" w:rsidRDefault="00627307" w:rsidP="00F73E1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MS Gothic" w:hAnsi="Times New Roman"/>
                <w:i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Предоставление Компании права использования в своих интересах денежных средств и/или ценных бумаг Клиента</w:t>
            </w:r>
          </w:p>
          <w:p w14:paraId="0868C620" w14:textId="0A46511A" w:rsidR="00627307" w:rsidRPr="00D068FC" w:rsidRDefault="00897703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854234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307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Настоящим предоставляю Компании прав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о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использования в своих интересах денежных средств Клиента</w:t>
            </w:r>
          </w:p>
          <w:p w14:paraId="36856A54" w14:textId="1402B302" w:rsidR="00627307" w:rsidRPr="00D068FC" w:rsidRDefault="00897703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20827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307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7307" w:rsidRPr="00D068FC" w:rsidDel="00806534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>Настоящим предоставляю Компании прав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о</w:t>
            </w:r>
            <w:r w:rsidR="0062730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использования в своих интересах ценных бумаг Клиента</w:t>
            </w:r>
          </w:p>
          <w:p w14:paraId="26481E2F" w14:textId="164A9A9B" w:rsidR="00627307" w:rsidRPr="00D068FC" w:rsidRDefault="00627307" w:rsidP="00627307">
            <w:pPr>
              <w:pStyle w:val="a4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 предоставлении Компании права использования в своих интересах денежных средств и/или ценных бумаг Клиента, Клиент подтверждает, что он</w:t>
            </w:r>
          </w:p>
          <w:p w14:paraId="4719DD76" w14:textId="2CD2C17B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ознакомлен с уведомление о рисках использования брокером в своих интересах денеж</w:t>
            </w:r>
            <w:r w:rsidR="00C972AC" w:rsidRPr="00D068FC">
              <w:rPr>
                <w:rFonts w:ascii="Times New Roman" w:eastAsia="MS Gothic" w:hAnsi="Times New Roman"/>
                <w:sz w:val="16"/>
                <w:szCs w:val="16"/>
              </w:rPr>
              <w:t>ных средств и/или ценных бумаг к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лиента, в том числе с правом направить отказ Компании в предоставлении ей права использования в своих интересах денежных средств и/или ценных бумаг Климента, с формой и порядком направления такого отказа;</w:t>
            </w:r>
          </w:p>
          <w:p w14:paraId="55C789AF" w14:textId="739FB3C0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риски использования Компанией в своих интересах денежных средств и/или ценных бумаг Клиента ему понятны и принимаются им;</w:t>
            </w:r>
          </w:p>
          <w:p w14:paraId="67AC966C" w14:textId="77777777" w:rsidR="00627307" w:rsidRPr="00D068FC" w:rsidRDefault="00627307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тем, что </w:t>
            </w:r>
            <w:r w:rsidRPr="00D068FC">
              <w:rPr>
                <w:rFonts w:ascii="Times New Roman" w:hAnsi="Times New Roman"/>
                <w:sz w:val="16"/>
                <w:szCs w:val="16"/>
              </w:rPr>
              <w:t>использование Компанией денежных средств и ценных бумаг осуществляется на безвозмездной основе, в том числе без распределения дохода, полученного от такого использования, в пользу Клиента</w:t>
            </w:r>
          </w:p>
          <w:p w14:paraId="02FD49DE" w14:textId="77777777" w:rsidR="002D514A" w:rsidRPr="00D068FC" w:rsidRDefault="002D514A" w:rsidP="00F73E1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4A0770D6" w14:textId="77777777" w:rsidR="002D514A" w:rsidRPr="00D068FC" w:rsidRDefault="002D514A" w:rsidP="00D068FC">
            <w:pPr>
              <w:autoSpaceDE w:val="0"/>
              <w:autoSpaceDN w:val="0"/>
              <w:adjustRightInd w:val="0"/>
              <w:spacing w:before="120" w:after="120"/>
              <w:mirrorIndents/>
              <w:jc w:val="both"/>
              <w:rPr>
                <w:rFonts w:ascii="Times New Roman" w:eastAsia="MS Gothic" w:hAnsi="Times New Roman"/>
                <w:b/>
                <w:sz w:val="20"/>
                <w:szCs w:val="20"/>
              </w:rPr>
            </w:pPr>
            <w:r w:rsidRPr="00D068FC">
              <w:rPr>
                <w:rFonts w:ascii="Times New Roman" w:eastAsia="MS Gothic" w:hAnsi="Times New Roman"/>
                <w:b/>
                <w:sz w:val="20"/>
                <w:szCs w:val="20"/>
              </w:rPr>
              <w:t>Уведомление о рисках использования брокером в своих интересах денежных средств и/или ценных бумаг клиента</w:t>
            </w:r>
          </w:p>
          <w:p w14:paraId="1A809B83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4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1. Риски, связанные с использованием брокером денежных средств клиента в своих интересах</w:t>
            </w:r>
          </w:p>
          <w:p w14:paraId="52DAABEF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Используя ваши денежные средства в своих интересах, брокер гарантирует Клиенту исполнение его поручений за счет указанных денежных средств либо их возврат по требованию Клиента не позднее рабочего дня, следующего за днем получения требования Клиента о возврате денежных средств.</w:t>
            </w:r>
          </w:p>
          <w:p w14:paraId="2A02C445" w14:textId="77777777" w:rsidR="002D514A" w:rsidRPr="00D068FC" w:rsidRDefault="002D514A" w:rsidP="002D514A">
            <w:pPr>
              <w:pStyle w:val="a4"/>
              <w:tabs>
                <w:tab w:val="left" w:pos="1134"/>
              </w:tabs>
              <w:spacing w:before="120" w:after="120" w:line="240" w:lineRule="auto"/>
              <w:ind w:left="32"/>
              <w:contextualSpacing w:val="0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то же время, при использовании брокером денежных средств Клиента в собственных интересах у Клиента возникают следующие риски:</w:t>
            </w:r>
          </w:p>
          <w:p w14:paraId="473059BE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риск неисполнения поручения и риск несвоевременного исполнения поручения Клиента вследствие недостачи денежных средств Клиента из-за перерасхода денежных средств на операции другого клиента как результат ошибки сотрудников брокера либо сбоя программного обеспечения;</w:t>
            </w:r>
          </w:p>
          <w:p w14:paraId="24EF9D3A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риск неплатежа по сделке, связанный с недостачей денежных средств.</w:t>
            </w:r>
          </w:p>
          <w:p w14:paraId="176F6D53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случае зачисления денежных средств Клиента на собственный банковский счет брокера, указанные выше риски могут возникнуть как из-за отсутствия на счете брокера достаточного количества денежных средств, так и из-за обращения взыскания на имущество брокера или невозможности осуществить операцию по банковскому счету брокера в виду приставления операций по нему в случаях, установленных законодательством.</w:t>
            </w:r>
          </w:p>
          <w:p w14:paraId="28C1C5EC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 xml:space="preserve">Клиент, предоставивший Компании право использования в своих интересах денежных средств Клиента, вправе в любое время отказать Компании в предоставлении такого права. Отказ от предоставления Компании права использования в своих интересах денежных средств Клиента направляется в виде Заявления об изменении условий брокерского обслуживания (Приложение № 1.2 к Регламенту брокерского обслуживания) </w:t>
            </w:r>
            <w:r w:rsidRPr="00D068FC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D068FC">
              <w:rPr>
                <w:rFonts w:ascii="Times New Roman" w:hAnsi="Times New Roman"/>
                <w:sz w:val="18"/>
                <w:szCs w:val="18"/>
              </w:rPr>
              <w:t xml:space="preserve"> отметкой об отказе от предоставления Компании соответствующего права. Такое заявление направляется в соответствии с порядком, установленным частью 2 Регламента брокерского обслуживания.</w:t>
            </w:r>
          </w:p>
          <w:p w14:paraId="2CD2AE20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Реализуя свое право на отказ от предоставления Компании права использования в своих интересах денежных средств Клиента, Клиенту следует учитывать, что такой отказ влечет невозможность совершения Клиентом ряда сделок и заключения договоров, являющихся производными финансовыми инструментами.</w:t>
            </w:r>
          </w:p>
          <w:p w14:paraId="296ECEBA" w14:textId="77777777" w:rsidR="002D514A" w:rsidRPr="00D068FC" w:rsidRDefault="002D514A" w:rsidP="002D514A">
            <w:pPr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2. Риски, связанные с использованием брокером ценных бумаг клиента в своих интересах</w:t>
            </w:r>
          </w:p>
          <w:p w14:paraId="1AFD8BE4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Используя ваши ценные бумаги в своих интересах, брокер обязан исполнить требование о возврате ценных бумаг, используемых в его интересах, в сроки, предусмотренные договором о брокерском обслуживании.</w:t>
            </w:r>
          </w:p>
          <w:p w14:paraId="0BEC66E6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результате использования брокером ваших бумаг возникают дополнительные условия (1) для реализации риска контрагента и риска неисполнения брокером обязательств перед вами, связанные с неисполнением или ненадлежащим исполнением обязательств по возврату ценных бумаг, переданных контрагенту, (2) для реализации операционного риска,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и/или контрагента.</w:t>
            </w:r>
          </w:p>
          <w:p w14:paraId="07343A75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 случае, если список лиц, имеющих право на получение от эмитента или лица, обязанного по ценным бумагам, денежных средств, а также иного имущества, определяется в период использования этих ценных бумаг в интересах брокера, брокер обязан передать вам суммы денежных средств, а также иное имущество, выплаченное (переданное) эмитентом или лицом, обязанным по ценным бумагам, в том числе в виде дивидендов и процентов по таким ценным бумагам.</w:t>
            </w:r>
          </w:p>
          <w:p w14:paraId="79B3571E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lastRenderedPageBreak/>
              <w:t>Обратите внимание на то, что в случае составления списка лиц, осуществляющих права по ценным бумагам (имеющих право на участие в общем собрании владельцев ценных бумаг, имеющих преимущественное право приобретения ценных бумаг, и другое) в период использования этих ценных бумаг в интересах брокера, вы можете быть не включены в указанный список. Если осуществление прав по ценным бумагам важно для вас, не предоставляйте брокеру право использования ваших ценных бумаг в его интересах.</w:t>
            </w:r>
          </w:p>
          <w:p w14:paraId="70221813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Ваш брокер является членом НАУФОР, к которой вы можете обратиться в случае нарушения ваших прав и интересов. Государственное регулирование и надзор в отношении деятельности эмитентов, профессиональных участников рынка ценных бумаг, организаторов торговли и других финансовых организаций осуществляется Центральным банком Российской Федерации, к которому вы также можете обращаться в случае нарушения ваших прав и интересов. Помимо этого, вы вправе обращаться за защитой в судебные и правоохранительные органы.</w:t>
            </w:r>
          </w:p>
          <w:p w14:paraId="67028C9B" w14:textId="77777777" w:rsidR="002D514A" w:rsidRPr="00D068FC" w:rsidRDefault="002D514A" w:rsidP="002D514A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Клиент, предоставивший Компании право использования в своих интересах ценных бумаг Клиента, вправе в любое время отказать Компании в предоставлении такого права. Отказ от предоставления Компании права использования в своих интересах ценных бумаг Клиента направляется в виде Заявления об изменении условий брокерского обслуживания (Приложение № 1.2 к Регламенту брокерского обслуживания) с отметкой об отказе от предоставления Компании соответствующего права. Такое заявление направляется в соответствии с порядком, установленным частью 2 Регламента брокерского обслуживания.</w:t>
            </w:r>
          </w:p>
          <w:p w14:paraId="67D91250" w14:textId="77777777" w:rsidR="002D514A" w:rsidRPr="00D068FC" w:rsidRDefault="002D514A" w:rsidP="002D514A">
            <w:pPr>
              <w:tabs>
                <w:tab w:val="num" w:pos="1145"/>
              </w:tabs>
              <w:autoSpaceDE w:val="0"/>
              <w:autoSpaceDN w:val="0"/>
              <w:adjustRightInd w:val="0"/>
              <w:spacing w:before="120" w:after="120" w:line="240" w:lineRule="auto"/>
              <w:ind w:left="32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Реализуя свое право на отказ от предоставления Компании права использования в своих интересах ценных бумаг Клиента, Клиенту следует учитывать, что такой отказ влечет невозможность совершения Клиентом ряда сделок и заключения договоров, являющихся производными финансовыми инструментами.</w:t>
            </w:r>
          </w:p>
          <w:p w14:paraId="4F68592B" w14:textId="1E9FAE16" w:rsidR="002D514A" w:rsidRPr="00D068FC" w:rsidRDefault="002D514A" w:rsidP="00D068FC">
            <w:pPr>
              <w:tabs>
                <w:tab w:val="left" w:pos="1134"/>
              </w:tabs>
              <w:spacing w:before="120" w:after="120" w:line="24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68FC">
              <w:rPr>
                <w:rFonts w:ascii="Times New Roman" w:hAnsi="Times New Roman"/>
                <w:sz w:val="18"/>
                <w:szCs w:val="18"/>
              </w:rPr>
              <w:t>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Клиента.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брокерского обслуживания (Приложение № 1.2 к Регламенту брокерского обслуживания).</w:t>
            </w:r>
          </w:p>
        </w:tc>
      </w:tr>
    </w:tbl>
    <w:p w14:paraId="07A6740C" w14:textId="73310351" w:rsidR="00D03A88" w:rsidRPr="00D068FC" w:rsidRDefault="00D03A88" w:rsidP="00F73E18">
      <w:p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551C703D" w14:textId="6EF192BA" w:rsidR="00B74647" w:rsidRPr="00D068FC" w:rsidRDefault="00B74647" w:rsidP="005277C8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Совершени</w:t>
      </w:r>
      <w:r w:rsidR="00ED5972" w:rsidRPr="00D068FC">
        <w:rPr>
          <w:rFonts w:ascii="Times New Roman" w:eastAsia="MS Gothic" w:hAnsi="Times New Roman"/>
          <w:sz w:val="20"/>
          <w:szCs w:val="20"/>
        </w:rPr>
        <w:t xml:space="preserve">е </w:t>
      </w:r>
      <w:r w:rsidRPr="00D068FC">
        <w:rPr>
          <w:rFonts w:ascii="Times New Roman" w:eastAsia="MS Gothic" w:hAnsi="Times New Roman"/>
          <w:sz w:val="20"/>
          <w:szCs w:val="20"/>
        </w:rPr>
        <w:t xml:space="preserve">необеспеченных </w:t>
      </w:r>
      <w:r w:rsidR="001A1AE3" w:rsidRPr="00D068FC">
        <w:rPr>
          <w:rFonts w:ascii="Times New Roman" w:eastAsia="MS Gothic" w:hAnsi="Times New Roman"/>
          <w:sz w:val="20"/>
          <w:szCs w:val="20"/>
        </w:rPr>
        <w:t>сделок</w:t>
      </w:r>
      <w:r w:rsidR="00C74605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 xml:space="preserve">(не предоставляется Клиентам, </w:t>
      </w:r>
      <w:r w:rsidR="00D71EB3" w:rsidRPr="00D068FC">
        <w:rPr>
          <w:rFonts w:ascii="Times New Roman" w:eastAsia="MS Gothic" w:hAnsi="Times New Roman"/>
          <w:i/>
          <w:sz w:val="20"/>
          <w:szCs w:val="20"/>
        </w:rPr>
        <w:t>б</w:t>
      </w:r>
      <w:r w:rsidR="00C74605" w:rsidRPr="00D068FC">
        <w:rPr>
          <w:rFonts w:ascii="Times New Roman" w:eastAsia="MS Gothic" w:hAnsi="Times New Roman"/>
          <w:i/>
          <w:sz w:val="20"/>
          <w:szCs w:val="20"/>
        </w:rPr>
        <w:t>рокерское обслуживание которых осуществляется на условиях Единого лимита)</w:t>
      </w:r>
      <w:r w:rsidR="005A27F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6E7F6E" w:rsidRPr="005B5089" w14:paraId="6271FCBB" w14:textId="77777777" w:rsidTr="009A2119">
        <w:tc>
          <w:tcPr>
            <w:tcW w:w="9498" w:type="dxa"/>
          </w:tcPr>
          <w:p w14:paraId="79773902" w14:textId="0F80A783" w:rsidR="006E7F6E" w:rsidRPr="00D068FC" w:rsidRDefault="00897703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11156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F6E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>» предоставить возможность совершения необеспеченных сделок</w:t>
            </w:r>
          </w:p>
          <w:p w14:paraId="6DD2E920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Ставя отметку о предоставлении возможности совершения необеспеченных сделок, Клиент подтверждает, что он:</w:t>
            </w:r>
          </w:p>
          <w:p w14:paraId="4F4663F0" w14:textId="32EA4E95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правилами и особенностями совершения необеспеченных сделок, сделок по закрытию позиций, специальных сделок РЕПО, </w:t>
            </w:r>
            <w:r w:rsidR="004546F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специальных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сделок своп (Приложение №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8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);</w:t>
            </w:r>
          </w:p>
          <w:p w14:paraId="5A74DD01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ознакомлен с тем, что за совершение специальных сделок РЕПО, сделок по закрытию позиций на валютном рынке ПАО Московская Биржа, сделок своп установлено отдельное вознаграждение;</w:t>
            </w:r>
          </w:p>
          <w:p w14:paraId="504F6201" w14:textId="6B61C98C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совершение необеспеченных сделок сопряжено с дополнительными рисками.</w:t>
            </w:r>
          </w:p>
          <w:p w14:paraId="5D4C74B0" w14:textId="42A65A0C" w:rsidR="00EE44FD" w:rsidRPr="00D068FC" w:rsidRDefault="00EE44FD" w:rsidP="00EE44FD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Если иное не установлено соглашением между Компанией и Клиентом, отказ от предоставления Компании права использования в своих интересах денежных средств и</w:t>
            </w:r>
            <w:r w:rsidR="00662D15" w:rsidRPr="00D068FC">
              <w:rPr>
                <w:rFonts w:ascii="Times New Roman" w:eastAsia="MS Gothic" w:hAnsi="Times New Roman"/>
                <w:sz w:val="16"/>
                <w:szCs w:val="16"/>
              </w:rPr>
              <w:t>/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или ценных бумаг Клиента влечет невозможность совершения Клиентом необеспеченных сделок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>, за исключением сделок, указанных в подп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ункте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1 п</w:t>
            </w:r>
            <w:r w:rsidR="00BD5A10" w:rsidRPr="00D068FC">
              <w:rPr>
                <w:rFonts w:ascii="Times New Roman" w:eastAsia="MS Gothic" w:hAnsi="Times New Roman"/>
                <w:sz w:val="16"/>
                <w:szCs w:val="16"/>
              </w:rPr>
              <w:t>ункта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1.5.7 Регламент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а</w:t>
            </w:r>
            <w:r w:rsidR="0063069B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217E0383" w14:textId="7797B170" w:rsidR="002F6BCC" w:rsidRPr="00D068FC" w:rsidRDefault="0076622A" w:rsidP="004806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Клиент-физическое лицо, с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тавя отметку о предоставлении возможности совершения необеспеченных сделок, подтверждает, что он ознакомлен, что поручения физического лица, не являющегося квалифицированным инвестором, на совершение необеспеченных сделок исполняются только после прохождения таким клиентом тестирования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по соответствующим сделкам и получения им положительного результата такого тестирования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106F96C2" w14:textId="20246BC9" w:rsidR="006E7F6E" w:rsidRPr="00D068FC" w:rsidRDefault="00897703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96923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F6E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6E7F6E" w:rsidRPr="00D068FC">
              <w:rPr>
                <w:rFonts w:ascii="Times New Roman" w:eastAsia="MS Gothic" w:hAnsi="Times New Roman"/>
                <w:sz w:val="16"/>
                <w:szCs w:val="16"/>
              </w:rPr>
              <w:t>» ограничить меня в возможности совершения необеспеченных сделок.</w:t>
            </w:r>
          </w:p>
          <w:p w14:paraId="23F75483" w14:textId="77777777" w:rsidR="006E7F6E" w:rsidRPr="00D068FC" w:rsidRDefault="006E7F6E" w:rsidP="009A211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459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i/>
                <w:sz w:val="16"/>
                <w:szCs w:val="16"/>
              </w:rPr>
              <w:t>В этом случае Клиент не будет иметь возможность подавать поручение в целях совершения сделки, в результате исполнения которого у Клиента возникает непокрытая позиция.</w:t>
            </w:r>
          </w:p>
        </w:tc>
      </w:tr>
    </w:tbl>
    <w:p w14:paraId="6F679EE0" w14:textId="01917A83" w:rsidR="00143159" w:rsidRPr="00D068FC" w:rsidRDefault="00143159" w:rsidP="007E7937">
      <w:p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58E71182" w14:textId="2294721D" w:rsidR="00EB4234" w:rsidRPr="00D068FC" w:rsidRDefault="00AF62A3" w:rsidP="00EB4234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Заключение договоров займа</w:t>
      </w:r>
      <w:r w:rsidR="00273416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AB4E07" w:rsidRPr="00D068FC">
        <w:rPr>
          <w:rFonts w:ascii="Times New Roman" w:eastAsia="MS Gothic" w:hAnsi="Times New Roman"/>
          <w:sz w:val="20"/>
          <w:szCs w:val="20"/>
        </w:rPr>
        <w:t xml:space="preserve">и </w:t>
      </w:r>
      <w:r w:rsidR="00273416" w:rsidRPr="00D068FC">
        <w:rPr>
          <w:rFonts w:ascii="Times New Roman" w:eastAsia="MS Gothic" w:hAnsi="Times New Roman"/>
          <w:sz w:val="20"/>
          <w:szCs w:val="20"/>
        </w:rPr>
        <w:t>совершение сделок</w:t>
      </w:r>
      <w:r w:rsidR="00EB4234" w:rsidRPr="00D068FC">
        <w:rPr>
          <w:rFonts w:ascii="Times New Roman" w:eastAsia="MS Gothic" w:hAnsi="Times New Roman"/>
          <w:sz w:val="20"/>
          <w:szCs w:val="20"/>
        </w:rPr>
        <w:t xml:space="preserve"> </w:t>
      </w:r>
      <w:r w:rsidR="00273416" w:rsidRPr="00D068FC">
        <w:rPr>
          <w:rFonts w:ascii="Times New Roman" w:eastAsia="MS Gothic" w:hAnsi="Times New Roman"/>
          <w:sz w:val="20"/>
          <w:szCs w:val="20"/>
        </w:rPr>
        <w:t xml:space="preserve">РЕПО </w:t>
      </w:r>
      <w:r w:rsidR="00EB4234" w:rsidRPr="00D068FC">
        <w:rPr>
          <w:rFonts w:ascii="Times New Roman" w:eastAsia="MS Gothic" w:hAnsi="Times New Roman"/>
          <w:sz w:val="20"/>
          <w:szCs w:val="20"/>
        </w:rPr>
        <w:t xml:space="preserve">с временно свободными </w:t>
      </w:r>
      <w:r w:rsidRPr="00D068FC">
        <w:rPr>
          <w:rFonts w:ascii="Times New Roman" w:eastAsia="MS Gothic" w:hAnsi="Times New Roman"/>
          <w:sz w:val="20"/>
          <w:szCs w:val="20"/>
        </w:rPr>
        <w:t>ценными бумагами</w:t>
      </w:r>
      <w:r w:rsidR="00EB423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Style w:val="af6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EB4234" w:rsidRPr="005B5089" w14:paraId="36B34409" w14:textId="77777777" w:rsidTr="007E7689">
        <w:tc>
          <w:tcPr>
            <w:tcW w:w="9498" w:type="dxa"/>
          </w:tcPr>
          <w:p w14:paraId="33979373" w14:textId="5EB5671E" w:rsidR="00EB4234" w:rsidRPr="00D068FC" w:rsidRDefault="00897703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75702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234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4234" w:rsidRPr="00D068FC" w:rsidDel="00C84625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Прошу Общество с ограниченной ответственностью «</w:t>
            </w:r>
            <w:r w:rsidR="00D71EB3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предоставить возможность </w:t>
            </w:r>
            <w:r w:rsidR="00291322" w:rsidRPr="00D068FC">
              <w:rPr>
                <w:rFonts w:ascii="Times New Roman" w:eastAsia="MS Gothic" w:hAnsi="Times New Roman"/>
                <w:sz w:val="16"/>
                <w:szCs w:val="16"/>
              </w:rPr>
              <w:t>за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временно свободными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590079D8" w14:textId="7777777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024F2FDC" w14:textId="3650AAB8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Ставя отметку о предоставлении возможности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 временно свободными 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Клиент подтверждает, что он:</w:t>
            </w:r>
          </w:p>
          <w:p w14:paraId="32EBBCFA" w14:textId="52753BD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ознакомлен с Порядком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договоров займа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и совершения сделок РЕПО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(Приложение №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9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);</w:t>
            </w:r>
          </w:p>
          <w:p w14:paraId="18BD8330" w14:textId="726281E2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согласен на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заключение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от своего имени за счет Клиента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 условиях длящегося поручения, условия которого изложены в Приложении №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9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к Регламенту 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брокерского обслуживания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395E940A" w14:textId="7ED31A22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lastRenderedPageBreak/>
              <w:t xml:space="preserve">понимает, что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за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ключение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или совершение сделок РЕПО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AF62A3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означает невозможность совершения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c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AF62A3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сделок, исполнение по которым должно быть осуществлено до даты 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>возврата ценных бумаг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7C622809" w14:textId="481DB576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заключение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или совершения сделок РЕПО</w:t>
            </w:r>
            <w:r w:rsidR="00316670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316670" w:rsidRPr="00D068FC" w:rsidDel="00AF62A3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означа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ет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невозможность совершения </w:t>
            </w:r>
            <w:r w:rsidRPr="00D068FC">
              <w:rPr>
                <w:rFonts w:ascii="Times New Roman" w:eastAsia="MS Gothic" w:hAnsi="Times New Roman"/>
                <w:sz w:val="16"/>
                <w:szCs w:val="16"/>
                <w:lang w:val="en-US"/>
              </w:rPr>
              <w:t>c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бумагами, 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неторговых операций ранее даты 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возврата ценных бумаг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1FD8236E" w14:textId="56014CCC" w:rsidR="0042136B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направление Обществу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поручения на сделку с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,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переданными в заем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либо покупателю по первой части сделки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будет означать направление в 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» поручения на совершение необеспеченной сделки</w:t>
            </w:r>
            <w:r w:rsidR="0042136B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53ADE4F7" w14:textId="02766AFA" w:rsidR="009A4333" w:rsidRPr="00D068FC" w:rsidRDefault="0042136B" w:rsidP="007E7689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понимает, что в период с даты передачи ценных </w:t>
            </w:r>
            <w:r w:rsidR="000F0028" w:rsidRPr="00D068FC">
              <w:rPr>
                <w:rFonts w:ascii="Times New Roman" w:eastAsia="MS Gothic" w:hAnsi="Times New Roman"/>
                <w:sz w:val="16"/>
                <w:szCs w:val="16"/>
              </w:rPr>
              <w:t>бумаг в заем по дату их возврата, лицом, имеющим право на реализацию прав, закрепленных соответствующими ценными бумагами (право на участие в собрании, право на получение дохода и др.), будет являться</w:t>
            </w:r>
            <w:r w:rsidR="009A4333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0F0028" w:rsidRPr="00D068FC">
              <w:rPr>
                <w:rFonts w:ascii="Times New Roman" w:eastAsia="MS Gothic" w:hAnsi="Times New Roman"/>
                <w:sz w:val="16"/>
                <w:szCs w:val="16"/>
              </w:rPr>
              <w:t>заемщик</w:t>
            </w:r>
            <w:r w:rsidR="009A4333" w:rsidRPr="00D068FC">
              <w:rPr>
                <w:rFonts w:ascii="Times New Roman" w:eastAsia="MS Gothic" w:hAnsi="Times New Roman"/>
                <w:sz w:val="16"/>
                <w:szCs w:val="16"/>
              </w:rPr>
              <w:t>;</w:t>
            </w:r>
          </w:p>
          <w:p w14:paraId="5CA6CA64" w14:textId="11F7BF7A" w:rsidR="00EB4234" w:rsidRPr="00D068FC" w:rsidRDefault="009A4333" w:rsidP="009A4333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понимает, что в период с даты передачи ценных бумаг по первой части сделки РЕПО по дату их возврата, лицом, имеющим право на участие в собрании, будет являться покупатель по первой части сделки РЕПО, при этом право на получение дохода по ценным бумагам сохраняется за продавцом по первой части сделки РЕПО.</w:t>
            </w:r>
          </w:p>
          <w:p w14:paraId="68796F94" w14:textId="5D5DBBDF" w:rsidR="002F6BCC" w:rsidRPr="00D068FC" w:rsidRDefault="0076622A" w:rsidP="004806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Клиент-физическое лицо, с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тавя отметку о предоставлении возможности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договоров займа и 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совершения сделок РЕПО с временно свободными ценными бумагами, подтверждает, что возможность 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совершения сделок РЕПО 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будет ему предоставлена только после прохождения таким клиентом тестирования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по соответствующим сделкам и получения им положительного результата такого тестирования</w:t>
            </w:r>
            <w:r w:rsidR="002F6BCC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05AF588A" w14:textId="1E892977" w:rsidR="00EB4234" w:rsidRPr="00D068FC" w:rsidRDefault="00EB4234" w:rsidP="007E7689">
            <w:pPr>
              <w:pStyle w:val="a4"/>
              <w:autoSpaceDE w:val="0"/>
              <w:autoSpaceDN w:val="0"/>
              <w:adjustRightInd w:val="0"/>
              <w:spacing w:before="120" w:after="120"/>
              <w:ind w:left="34"/>
              <w:contextualSpacing w:val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Клиент вправе отказаться от заключения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, направив в 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Заявление об изменении условий Брокерского обслуживания с отметкой об отказе от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заключения договоров займа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совершения сделок РЕПО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  <w:p w14:paraId="32E4636D" w14:textId="77777777" w:rsidR="00EB4234" w:rsidRPr="00D068FC" w:rsidRDefault="00EB4234" w:rsidP="007E7689">
            <w:pPr>
              <w:pStyle w:val="a4"/>
              <w:tabs>
                <w:tab w:val="left" w:pos="1134"/>
              </w:tabs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</w:p>
          <w:p w14:paraId="7EC71666" w14:textId="543FA993" w:rsidR="00EB4234" w:rsidRPr="00D068FC" w:rsidRDefault="00897703" w:rsidP="00DB0C48">
            <w:pPr>
              <w:pStyle w:val="a4"/>
              <w:autoSpaceDE w:val="0"/>
              <w:autoSpaceDN w:val="0"/>
              <w:adjustRightInd w:val="0"/>
              <w:spacing w:before="120" w:after="120" w:line="240" w:lineRule="auto"/>
              <w:ind w:left="34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-947005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234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B4234" w:rsidRPr="00D068FC" w:rsidDel="00BA594B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Настоящим выражаю свой отказ от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заключения 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» от своего имени за мой счет 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>договоров займа</w:t>
            </w:r>
            <w:r w:rsidR="00CA54B7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и </w:t>
            </w:r>
            <w:r w:rsidR="00273416" w:rsidRPr="00D068FC">
              <w:rPr>
                <w:rFonts w:ascii="Times New Roman" w:eastAsia="MS Gothic" w:hAnsi="Times New Roman"/>
                <w:sz w:val="16"/>
                <w:szCs w:val="16"/>
              </w:rPr>
              <w:t>совершения сделок РЕПО</w:t>
            </w:r>
            <w:r w:rsidR="00DB0C48"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 с временно свободными ценными бумагами</w:t>
            </w:r>
            <w:r w:rsidR="00EB4234" w:rsidRPr="00D068FC">
              <w:rPr>
                <w:rFonts w:ascii="Times New Roman" w:eastAsia="MS Gothic" w:hAnsi="Times New Roman"/>
                <w:sz w:val="16"/>
                <w:szCs w:val="16"/>
              </w:rPr>
              <w:t>.</w:t>
            </w:r>
          </w:p>
        </w:tc>
      </w:tr>
    </w:tbl>
    <w:p w14:paraId="129D7066" w14:textId="77777777" w:rsidR="00EB4234" w:rsidRPr="00D068FC" w:rsidRDefault="00EB4234" w:rsidP="00C8571B">
      <w:pPr>
        <w:pStyle w:val="a4"/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</w:p>
    <w:p w14:paraId="0B03F950" w14:textId="63BC2F6C" w:rsidR="006C75C3" w:rsidRPr="00D068FC" w:rsidRDefault="007C7694" w:rsidP="004F716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Изменение порядка оплаты</w:t>
      </w:r>
      <w:r w:rsidR="00331D50" w:rsidRPr="00D068FC">
        <w:rPr>
          <w:rFonts w:ascii="Times New Roman" w:eastAsia="MS Gothic" w:hAnsi="Times New Roman"/>
          <w:sz w:val="20"/>
          <w:szCs w:val="20"/>
        </w:rPr>
        <w:t xml:space="preserve"> депозитарной комиссии</w:t>
      </w:r>
      <w:r w:rsidR="002700C8" w:rsidRPr="00D068FC">
        <w:rPr>
          <w:rFonts w:ascii="Times New Roman" w:eastAsia="MS Gothic" w:hAnsi="Times New Roman"/>
          <w:sz w:val="20"/>
          <w:szCs w:val="20"/>
        </w:rPr>
        <w:t xml:space="preserve"> и возмещения депозитарных комиссий</w:t>
      </w:r>
      <w:r w:rsidR="00C2497C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931"/>
      </w:tblGrid>
      <w:tr w:rsidR="00331D50" w:rsidRPr="005B5089" w14:paraId="49ADDEC3" w14:textId="77777777" w:rsidTr="00A47905">
        <w:trPr>
          <w:trHeight w:val="30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801C79" w14:textId="73674DED" w:rsidR="00331D50" w:rsidRPr="00D068FC" w:rsidRDefault="00897703" w:rsidP="00A47905">
            <w:pPr>
              <w:pStyle w:val="a4"/>
              <w:spacing w:after="0"/>
              <w:ind w:left="0"/>
              <w:jc w:val="center"/>
              <w:rPr>
                <w:rFonts w:ascii="Times New Roman" w:eastAsia="MS Gothic" w:hAnsi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/>
                  <w:sz w:val="20"/>
                  <w:szCs w:val="20"/>
                </w:rPr>
                <w:id w:val="163128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94B" w:rsidRPr="00D068F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931" w:type="dxa"/>
            <w:shd w:val="clear" w:color="auto" w:fill="auto"/>
            <w:vAlign w:val="center"/>
          </w:tcPr>
          <w:p w14:paraId="77D12073" w14:textId="7DD254EB" w:rsidR="00331D50" w:rsidRPr="00D068FC" w:rsidRDefault="00331D50" w:rsidP="00A47905">
            <w:pPr>
              <w:pStyle w:val="a4"/>
              <w:spacing w:after="0"/>
              <w:ind w:left="0"/>
              <w:jc w:val="both"/>
              <w:rPr>
                <w:rFonts w:ascii="Times New Roman" w:eastAsia="MS Gothic" w:hAnsi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Прошу предоставить право оплаты услуг 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Общества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» как д</w:t>
            </w:r>
            <w:r w:rsidRPr="00D068FC">
              <w:rPr>
                <w:rFonts w:ascii="Times New Roman" w:eastAsia="MS Gothic" w:hAnsi="Times New Roman"/>
                <w:sz w:val="16"/>
                <w:szCs w:val="16"/>
              </w:rPr>
              <w:t xml:space="preserve">епозитария путем оплаты счетов, предоставляемых 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Обществом с ограниченной ответственностью «</w:t>
            </w:r>
            <w:r w:rsidR="00E258A6" w:rsidRPr="00D068FC">
              <w:rPr>
                <w:rFonts w:ascii="Times New Roman" w:eastAsia="MS Gothic" w:hAnsi="Times New Roman"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/>
                <w:sz w:val="16"/>
                <w:szCs w:val="16"/>
              </w:rPr>
              <w:t>»</w:t>
            </w:r>
          </w:p>
          <w:p w14:paraId="2CD6DB75" w14:textId="3BB3FCF5" w:rsidR="00331D50" w:rsidRPr="00D068FC" w:rsidRDefault="007C7694" w:rsidP="00A47905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Я ознакомлен и понимаю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, что в случае несвоевременной оплаты депозитарных услуг </w:t>
            </w:r>
            <w:r w:rsidR="00F7453F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Общество с ограниченной ответственностью «</w:t>
            </w:r>
            <w:r w:rsidR="00E258A6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Управляющая компания «Горизонт</w:t>
            </w:r>
            <w:r w:rsidR="00F7453F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»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вправе осуществить </w:t>
            </w:r>
            <w:proofErr w:type="spellStart"/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безакцептное</w:t>
            </w:r>
            <w:proofErr w:type="spellEnd"/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списание сумм, указанных в счетах, с брокерского счета</w:t>
            </w:r>
            <w:r w:rsidR="009E33AC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,</w:t>
            </w:r>
            <w:r w:rsidR="00331D50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открытого в рамках </w:t>
            </w:r>
            <w:r w:rsidR="009E33AC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Регламента</w:t>
            </w:r>
            <w:r w:rsidR="008B6289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="00E258A6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брокерского обслуживания</w:t>
            </w:r>
            <w:r w:rsidR="005A27F4" w:rsidRPr="00D068FC">
              <w:rPr>
                <w:rFonts w:ascii="Times New Roman" w:eastAsia="MS Gothic" w:hAnsi="Times New Roman" w:cs="Times New Roman"/>
                <w:b/>
                <w:i/>
                <w:sz w:val="16"/>
                <w:szCs w:val="16"/>
              </w:rPr>
              <w:t>.</w:t>
            </w:r>
          </w:p>
        </w:tc>
      </w:tr>
    </w:tbl>
    <w:p w14:paraId="4568269E" w14:textId="77777777" w:rsidR="00782DBE" w:rsidRPr="00D068FC" w:rsidRDefault="00782DBE" w:rsidP="00743667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S Gothic" w:hAnsi="Times New Roman"/>
          <w:sz w:val="14"/>
          <w:szCs w:val="14"/>
        </w:rPr>
      </w:pPr>
    </w:p>
    <w:p w14:paraId="1F97DE14" w14:textId="0C92FEF2" w:rsidR="00D33EB9" w:rsidRPr="00D068FC" w:rsidRDefault="00D33EB9" w:rsidP="004F716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rFonts w:ascii="Times New Roman" w:eastAsia="MS Gothic" w:hAnsi="Times New Roman"/>
          <w:sz w:val="20"/>
          <w:szCs w:val="20"/>
        </w:rPr>
      </w:pPr>
      <w:r w:rsidRPr="00D068FC">
        <w:rPr>
          <w:rFonts w:ascii="Times New Roman" w:eastAsia="MS Gothic" w:hAnsi="Times New Roman"/>
          <w:sz w:val="20"/>
          <w:szCs w:val="20"/>
        </w:rPr>
        <w:t>Подпись</w:t>
      </w:r>
      <w:r w:rsidR="00464A46" w:rsidRPr="00D068FC">
        <w:rPr>
          <w:rFonts w:ascii="Times New Roman" w:eastAsia="MS Gothic" w:hAnsi="Times New Roman"/>
          <w:sz w:val="20"/>
          <w:szCs w:val="20"/>
        </w:rPr>
        <w:t xml:space="preserve"> клиента (уполномоченного представителя)</w:t>
      </w:r>
      <w:r w:rsidR="005A27F4" w:rsidRPr="00D068FC">
        <w:rPr>
          <w:rFonts w:ascii="Times New Roman" w:eastAsia="MS Gothic" w:hAnsi="Times New Roman"/>
          <w:sz w:val="20"/>
          <w:szCs w:val="20"/>
        </w:rPr>
        <w:t>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452"/>
        <w:gridCol w:w="3105"/>
      </w:tblGrid>
      <w:tr w:rsidR="00CF7B79" w:rsidRPr="005B5089" w14:paraId="405AC66E" w14:textId="77777777" w:rsidTr="002F5128">
        <w:trPr>
          <w:trHeight w:val="224"/>
        </w:trPr>
        <w:tc>
          <w:tcPr>
            <w:tcW w:w="941" w:type="dxa"/>
            <w:shd w:val="clear" w:color="auto" w:fill="auto"/>
            <w:vAlign w:val="center"/>
          </w:tcPr>
          <w:p w14:paraId="52849CA6" w14:textId="77777777" w:rsidR="00CF7B79" w:rsidRPr="00D068FC" w:rsidRDefault="00CF7B7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ФИО: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447A6D56" w14:textId="77777777" w:rsidR="00CF7B79" w:rsidRPr="00D068FC" w:rsidRDefault="00CF7B7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separate"/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noProof/>
                <w:color w:val="000000"/>
              </w:rPr>
              <w:t> </w:t>
            </w:r>
            <w:r w:rsidRPr="00D068FC">
              <w:rPr>
                <w:rStyle w:val="a3"/>
                <w:rFonts w:ascii="Times New Roman" w:hAnsi="Times New Roman"/>
                <w:b/>
                <w:color w:val="000000"/>
              </w:rPr>
              <w:fldChar w:fldCharType="end"/>
            </w:r>
          </w:p>
        </w:tc>
        <w:tc>
          <w:tcPr>
            <w:tcW w:w="3105" w:type="dxa"/>
            <w:vMerge w:val="restart"/>
            <w:shd w:val="clear" w:color="auto" w:fill="auto"/>
            <w:vAlign w:val="bottom"/>
          </w:tcPr>
          <w:p w14:paraId="27C15EB3" w14:textId="583CC45F" w:rsidR="00CF7B79" w:rsidRPr="00D068FC" w:rsidRDefault="00464A46" w:rsidP="00464A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Печать (при наличии)</w:t>
            </w:r>
          </w:p>
        </w:tc>
      </w:tr>
      <w:tr w:rsidR="00CF7B79" w:rsidRPr="005B5089" w14:paraId="7FECB1BF" w14:textId="77777777" w:rsidTr="00530C5D">
        <w:trPr>
          <w:trHeight w:val="70"/>
        </w:trPr>
        <w:tc>
          <w:tcPr>
            <w:tcW w:w="6393" w:type="dxa"/>
            <w:gridSpan w:val="2"/>
            <w:shd w:val="clear" w:color="auto" w:fill="auto"/>
          </w:tcPr>
          <w:p w14:paraId="757B35C9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12CB5955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1E2EC85B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03C90090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  <w:p w14:paraId="51273BF3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eastAsia="MS Gothic" w:hAnsi="Times New Roman"/>
                <w:sz w:val="18"/>
                <w:szCs w:val="18"/>
              </w:rPr>
              <w:t>Подпись</w:t>
            </w:r>
          </w:p>
        </w:tc>
        <w:tc>
          <w:tcPr>
            <w:tcW w:w="3105" w:type="dxa"/>
            <w:vMerge/>
            <w:shd w:val="clear" w:color="auto" w:fill="auto"/>
          </w:tcPr>
          <w:p w14:paraId="6933B67C" w14:textId="77777777" w:rsidR="00CF7B79" w:rsidRPr="00D068FC" w:rsidRDefault="00CF7B7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sz w:val="18"/>
                <w:szCs w:val="18"/>
              </w:rPr>
            </w:pPr>
          </w:p>
        </w:tc>
      </w:tr>
    </w:tbl>
    <w:p w14:paraId="366BF282" w14:textId="77777777" w:rsidR="00D33EB9" w:rsidRPr="00D068FC" w:rsidRDefault="00D33EB9" w:rsidP="00D33EB9">
      <w:pPr>
        <w:pStyle w:val="a4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958"/>
        <w:gridCol w:w="3601"/>
      </w:tblGrid>
      <w:tr w:rsidR="00415D6D" w:rsidRPr="005B5089" w14:paraId="3DA63789" w14:textId="77777777" w:rsidTr="00415D6D">
        <w:trPr>
          <w:trHeight w:val="139"/>
        </w:trPr>
        <w:tc>
          <w:tcPr>
            <w:tcW w:w="9517" w:type="dxa"/>
            <w:gridSpan w:val="3"/>
            <w:shd w:val="clear" w:color="auto" w:fill="auto"/>
            <w:vAlign w:val="center"/>
          </w:tcPr>
          <w:p w14:paraId="66434475" w14:textId="198D5F33" w:rsidR="00415D6D" w:rsidRPr="00D068FC" w:rsidRDefault="00467696" w:rsidP="00415D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68FC">
              <w:rPr>
                <w:rFonts w:ascii="Times New Roman" w:hAnsi="Times New Roman"/>
                <w:b/>
                <w:i/>
                <w:sz w:val="16"/>
                <w:szCs w:val="16"/>
              </w:rPr>
              <w:t>Зарегистрировано:</w:t>
            </w:r>
            <w:r w:rsidR="00415D6D" w:rsidRPr="00D068FC">
              <w:rPr>
                <w:rFonts w:ascii="Times New Roman" w:hAnsi="Times New Roman"/>
                <w:i/>
                <w:sz w:val="16"/>
                <w:szCs w:val="16"/>
              </w:rPr>
              <w:t xml:space="preserve"> (заполняется сотрудником Компании)</w:t>
            </w:r>
          </w:p>
        </w:tc>
      </w:tr>
      <w:tr w:rsidR="00D33EB9" w:rsidRPr="005B5089" w14:paraId="5198476E" w14:textId="77777777" w:rsidTr="00CF7B79">
        <w:trPr>
          <w:trHeight w:val="739"/>
        </w:trPr>
        <w:tc>
          <w:tcPr>
            <w:tcW w:w="2958" w:type="dxa"/>
            <w:shd w:val="clear" w:color="auto" w:fill="auto"/>
            <w:vAlign w:val="center"/>
          </w:tcPr>
          <w:p w14:paraId="2CAD665A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58" w:type="dxa"/>
            <w:shd w:val="clear" w:color="auto" w:fill="auto"/>
            <w:vAlign w:val="center"/>
          </w:tcPr>
          <w:p w14:paraId="133C4D89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773526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3EA501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4D0C07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5BD33B56" w14:textId="77777777" w:rsidR="00D33EB9" w:rsidRPr="00D068FC" w:rsidRDefault="00D33EB9" w:rsidP="00DE4E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3EB9" w:rsidRPr="005B5089" w14:paraId="6FBFD086" w14:textId="77777777" w:rsidTr="00D33EB9">
        <w:trPr>
          <w:trHeight w:val="210"/>
        </w:trPr>
        <w:tc>
          <w:tcPr>
            <w:tcW w:w="2958" w:type="dxa"/>
            <w:shd w:val="clear" w:color="auto" w:fill="auto"/>
            <w:vAlign w:val="center"/>
          </w:tcPr>
          <w:p w14:paraId="59F92418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5EAA474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ФИО сотрудника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55B3DA05" w14:textId="77777777" w:rsidR="00D33EB9" w:rsidRPr="00D068FC" w:rsidRDefault="00D33EB9" w:rsidP="00DE4EE0">
            <w:pPr>
              <w:spacing w:after="0" w:line="240" w:lineRule="auto"/>
              <w:jc w:val="center"/>
              <w:rPr>
                <w:rFonts w:ascii="Times New Roman" w:eastAsia="MS Gothic" w:hAnsi="Times New Roman"/>
                <w:i/>
                <w:sz w:val="18"/>
                <w:szCs w:val="18"/>
              </w:rPr>
            </w:pPr>
            <w:r w:rsidRPr="00D068FC">
              <w:rPr>
                <w:rFonts w:ascii="Times New Roman" w:eastAsia="MS Gothic" w:hAnsi="Times New Roman"/>
                <w:i/>
                <w:sz w:val="18"/>
                <w:szCs w:val="18"/>
              </w:rPr>
              <w:t>Подпись</w:t>
            </w:r>
          </w:p>
        </w:tc>
      </w:tr>
    </w:tbl>
    <w:p w14:paraId="2CAF954C" w14:textId="77777777" w:rsidR="00267B82" w:rsidRPr="00D068FC" w:rsidRDefault="00267B82" w:rsidP="00C75CC7">
      <w:pPr>
        <w:rPr>
          <w:rFonts w:ascii="Times New Roman" w:hAnsi="Times New Roman"/>
        </w:rPr>
      </w:pPr>
    </w:p>
    <w:sectPr w:rsidR="00267B82" w:rsidRPr="00D068FC" w:rsidSect="00BA3898">
      <w:footnotePr>
        <w:pos w:val="beneathText"/>
        <w:numRestart w:val="eachSect"/>
      </w:footnotePr>
      <w:endnotePr>
        <w:numFmt w:val="decimal"/>
      </w:endnotePr>
      <w:pgSz w:w="11906" w:h="16838"/>
      <w:pgMar w:top="568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C2028" w14:textId="77777777" w:rsidR="00897703" w:rsidRDefault="00897703" w:rsidP="00BA3898">
      <w:pPr>
        <w:spacing w:after="0" w:line="240" w:lineRule="auto"/>
      </w:pPr>
      <w:r>
        <w:separator/>
      </w:r>
    </w:p>
  </w:endnote>
  <w:endnote w:type="continuationSeparator" w:id="0">
    <w:p w14:paraId="1322EC99" w14:textId="77777777" w:rsidR="00897703" w:rsidRDefault="00897703" w:rsidP="00BA3898">
      <w:pPr>
        <w:spacing w:after="0" w:line="240" w:lineRule="auto"/>
      </w:pPr>
      <w:r>
        <w:continuationSeparator/>
      </w:r>
    </w:p>
  </w:endnote>
  <w:endnote w:id="1">
    <w:p w14:paraId="00DCF795" w14:textId="48EECFBC" w:rsidR="00E1097E" w:rsidRPr="00D068FC" w:rsidRDefault="00E1097E" w:rsidP="00736805">
      <w:pPr>
        <w:pStyle w:val="af3"/>
        <w:jc w:val="both"/>
        <w:rPr>
          <w:rFonts w:ascii="Times New Roman" w:hAnsi="Times New Roman"/>
          <w:sz w:val="14"/>
          <w:szCs w:val="14"/>
        </w:rPr>
      </w:pPr>
      <w:r w:rsidRPr="00D068FC">
        <w:rPr>
          <w:rStyle w:val="af5"/>
          <w:rFonts w:ascii="Times New Roman" w:hAnsi="Times New Roman"/>
          <w:sz w:val="14"/>
          <w:szCs w:val="14"/>
        </w:rPr>
        <w:endnoteRef/>
      </w:r>
      <w:r w:rsidRPr="00D068FC">
        <w:rPr>
          <w:rFonts w:ascii="Times New Roman" w:hAnsi="Times New Roman"/>
          <w:sz w:val="14"/>
          <w:szCs w:val="14"/>
        </w:rPr>
        <w:t xml:space="preserve"> Подача поручений на совершение сделок с драгоценными металлами не доступна клиентам, Договор о брокерском обслуживании с которыми предусматривает открытие и ведение индивидуального инвестиционного счета.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52FEE" w14:textId="77777777" w:rsidR="00897703" w:rsidRDefault="00897703" w:rsidP="00BA3898">
      <w:pPr>
        <w:spacing w:after="0" w:line="240" w:lineRule="auto"/>
      </w:pPr>
      <w:r>
        <w:separator/>
      </w:r>
    </w:p>
  </w:footnote>
  <w:footnote w:type="continuationSeparator" w:id="0">
    <w:p w14:paraId="6B1EA394" w14:textId="77777777" w:rsidR="00897703" w:rsidRDefault="00897703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DF500E"/>
    <w:multiLevelType w:val="multilevel"/>
    <w:tmpl w:val="E402B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EA"/>
    <w:multiLevelType w:val="multilevel"/>
    <w:tmpl w:val="802A4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385C96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61F84"/>
    <w:multiLevelType w:val="hybridMultilevel"/>
    <w:tmpl w:val="8BD29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561FD1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7174A"/>
    <w:multiLevelType w:val="hybridMultilevel"/>
    <w:tmpl w:val="576E89EA"/>
    <w:lvl w:ilvl="0" w:tplc="863C1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231B8"/>
    <w:multiLevelType w:val="hybridMultilevel"/>
    <w:tmpl w:val="3BE29A86"/>
    <w:lvl w:ilvl="0" w:tplc="A9E8A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E4E6A"/>
    <w:multiLevelType w:val="multilevel"/>
    <w:tmpl w:val="1598D9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D8D474F"/>
    <w:multiLevelType w:val="multilevel"/>
    <w:tmpl w:val="B30089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73640D0B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C651F7"/>
    <w:multiLevelType w:val="multilevel"/>
    <w:tmpl w:val="59C8D5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D503C2D"/>
    <w:multiLevelType w:val="multilevel"/>
    <w:tmpl w:val="75A0F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0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0"/>
  </w:num>
  <w:num w:numId="14">
    <w:abstractNumId w:val="18"/>
  </w:num>
  <w:num w:numId="15">
    <w:abstractNumId w:val="19"/>
  </w:num>
  <w:num w:numId="16">
    <w:abstractNumId w:val="15"/>
  </w:num>
  <w:num w:numId="17">
    <w:abstractNumId w:val="1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1185A"/>
    <w:rsid w:val="00013CF7"/>
    <w:rsid w:val="00015958"/>
    <w:rsid w:val="00020683"/>
    <w:rsid w:val="000235D1"/>
    <w:rsid w:val="00027AAE"/>
    <w:rsid w:val="00032B5D"/>
    <w:rsid w:val="00036243"/>
    <w:rsid w:val="00042C00"/>
    <w:rsid w:val="000458B1"/>
    <w:rsid w:val="00045C5E"/>
    <w:rsid w:val="000567F1"/>
    <w:rsid w:val="00060C3B"/>
    <w:rsid w:val="00062CA9"/>
    <w:rsid w:val="0006456E"/>
    <w:rsid w:val="00075164"/>
    <w:rsid w:val="000811C2"/>
    <w:rsid w:val="000A0F54"/>
    <w:rsid w:val="000A51F0"/>
    <w:rsid w:val="000B3A95"/>
    <w:rsid w:val="000B5414"/>
    <w:rsid w:val="000B6B66"/>
    <w:rsid w:val="000C4E43"/>
    <w:rsid w:val="000E64AA"/>
    <w:rsid w:val="000E6882"/>
    <w:rsid w:val="000F0028"/>
    <w:rsid w:val="00102031"/>
    <w:rsid w:val="001058DE"/>
    <w:rsid w:val="00110709"/>
    <w:rsid w:val="00112F78"/>
    <w:rsid w:val="0011616E"/>
    <w:rsid w:val="001246EF"/>
    <w:rsid w:val="00125470"/>
    <w:rsid w:val="0013457B"/>
    <w:rsid w:val="00143159"/>
    <w:rsid w:val="00143DBA"/>
    <w:rsid w:val="00144D05"/>
    <w:rsid w:val="001450B1"/>
    <w:rsid w:val="0014531C"/>
    <w:rsid w:val="00151876"/>
    <w:rsid w:val="00170D72"/>
    <w:rsid w:val="001711E8"/>
    <w:rsid w:val="001775BE"/>
    <w:rsid w:val="001802CD"/>
    <w:rsid w:val="00195DC9"/>
    <w:rsid w:val="001A1AE3"/>
    <w:rsid w:val="001B3A08"/>
    <w:rsid w:val="001D2661"/>
    <w:rsid w:val="001D5BD2"/>
    <w:rsid w:val="001E21A4"/>
    <w:rsid w:val="001E5B33"/>
    <w:rsid w:val="001E6622"/>
    <w:rsid w:val="001F6474"/>
    <w:rsid w:val="002039BD"/>
    <w:rsid w:val="00211091"/>
    <w:rsid w:val="00212278"/>
    <w:rsid w:val="002124E5"/>
    <w:rsid w:val="002147F4"/>
    <w:rsid w:val="0022081C"/>
    <w:rsid w:val="002233FB"/>
    <w:rsid w:val="00223579"/>
    <w:rsid w:val="002251E8"/>
    <w:rsid w:val="00232731"/>
    <w:rsid w:val="002335BB"/>
    <w:rsid w:val="00240F35"/>
    <w:rsid w:val="00246268"/>
    <w:rsid w:val="00246E4D"/>
    <w:rsid w:val="002665DA"/>
    <w:rsid w:val="00267B82"/>
    <w:rsid w:val="002700C8"/>
    <w:rsid w:val="00272A68"/>
    <w:rsid w:val="00273416"/>
    <w:rsid w:val="00277B0A"/>
    <w:rsid w:val="00283D1B"/>
    <w:rsid w:val="00284CDA"/>
    <w:rsid w:val="00287243"/>
    <w:rsid w:val="00291322"/>
    <w:rsid w:val="00294FD3"/>
    <w:rsid w:val="002A4D7E"/>
    <w:rsid w:val="002B54F9"/>
    <w:rsid w:val="002B5553"/>
    <w:rsid w:val="002B6542"/>
    <w:rsid w:val="002B6809"/>
    <w:rsid w:val="002C1386"/>
    <w:rsid w:val="002C29B2"/>
    <w:rsid w:val="002D1365"/>
    <w:rsid w:val="002D514A"/>
    <w:rsid w:val="002E1077"/>
    <w:rsid w:val="002E431B"/>
    <w:rsid w:val="002E6071"/>
    <w:rsid w:val="002F0FC0"/>
    <w:rsid w:val="002F122D"/>
    <w:rsid w:val="002F4CF6"/>
    <w:rsid w:val="002F5128"/>
    <w:rsid w:val="002F6BCC"/>
    <w:rsid w:val="00302755"/>
    <w:rsid w:val="00310DB4"/>
    <w:rsid w:val="00315602"/>
    <w:rsid w:val="00316670"/>
    <w:rsid w:val="00316A9C"/>
    <w:rsid w:val="00320840"/>
    <w:rsid w:val="00320AB1"/>
    <w:rsid w:val="00330C3C"/>
    <w:rsid w:val="00331D50"/>
    <w:rsid w:val="00334FFD"/>
    <w:rsid w:val="00335A08"/>
    <w:rsid w:val="00341206"/>
    <w:rsid w:val="0034228B"/>
    <w:rsid w:val="00342B60"/>
    <w:rsid w:val="00343637"/>
    <w:rsid w:val="00352258"/>
    <w:rsid w:val="00352AFF"/>
    <w:rsid w:val="00357975"/>
    <w:rsid w:val="00364720"/>
    <w:rsid w:val="003729EC"/>
    <w:rsid w:val="003756D0"/>
    <w:rsid w:val="00375C57"/>
    <w:rsid w:val="00375EB7"/>
    <w:rsid w:val="00381782"/>
    <w:rsid w:val="00385222"/>
    <w:rsid w:val="003A3680"/>
    <w:rsid w:val="003A4741"/>
    <w:rsid w:val="003A532E"/>
    <w:rsid w:val="003A5AE3"/>
    <w:rsid w:val="003A7D53"/>
    <w:rsid w:val="003B2064"/>
    <w:rsid w:val="003B4C4C"/>
    <w:rsid w:val="003B66D2"/>
    <w:rsid w:val="003B7802"/>
    <w:rsid w:val="003C4F99"/>
    <w:rsid w:val="003C783E"/>
    <w:rsid w:val="003D620B"/>
    <w:rsid w:val="003E09CC"/>
    <w:rsid w:val="003E4ABA"/>
    <w:rsid w:val="003E58EE"/>
    <w:rsid w:val="003E68E6"/>
    <w:rsid w:val="003F3B6A"/>
    <w:rsid w:val="003F4A43"/>
    <w:rsid w:val="003F5628"/>
    <w:rsid w:val="00415846"/>
    <w:rsid w:val="00415D6D"/>
    <w:rsid w:val="004208C2"/>
    <w:rsid w:val="0042136B"/>
    <w:rsid w:val="00422EDC"/>
    <w:rsid w:val="004403BD"/>
    <w:rsid w:val="004546F6"/>
    <w:rsid w:val="00462508"/>
    <w:rsid w:val="00462764"/>
    <w:rsid w:val="00463712"/>
    <w:rsid w:val="00464A46"/>
    <w:rsid w:val="00467696"/>
    <w:rsid w:val="004704F8"/>
    <w:rsid w:val="004758A3"/>
    <w:rsid w:val="00477B81"/>
    <w:rsid w:val="0048068B"/>
    <w:rsid w:val="00484271"/>
    <w:rsid w:val="0048556E"/>
    <w:rsid w:val="00487FD8"/>
    <w:rsid w:val="00497D3A"/>
    <w:rsid w:val="004A01DC"/>
    <w:rsid w:val="004A100A"/>
    <w:rsid w:val="004C06FB"/>
    <w:rsid w:val="004C1417"/>
    <w:rsid w:val="004C3F47"/>
    <w:rsid w:val="004C5866"/>
    <w:rsid w:val="004C5BED"/>
    <w:rsid w:val="004E7958"/>
    <w:rsid w:val="004F37E4"/>
    <w:rsid w:val="004F3ACF"/>
    <w:rsid w:val="004F7165"/>
    <w:rsid w:val="00500A57"/>
    <w:rsid w:val="00505695"/>
    <w:rsid w:val="005072D9"/>
    <w:rsid w:val="00510ED6"/>
    <w:rsid w:val="005277C8"/>
    <w:rsid w:val="00530C5D"/>
    <w:rsid w:val="005433A7"/>
    <w:rsid w:val="00546E60"/>
    <w:rsid w:val="005517D0"/>
    <w:rsid w:val="00555691"/>
    <w:rsid w:val="00561908"/>
    <w:rsid w:val="005703C7"/>
    <w:rsid w:val="0057458C"/>
    <w:rsid w:val="00574625"/>
    <w:rsid w:val="005763D5"/>
    <w:rsid w:val="00576B10"/>
    <w:rsid w:val="0059479E"/>
    <w:rsid w:val="005A27F4"/>
    <w:rsid w:val="005A78A6"/>
    <w:rsid w:val="005B5089"/>
    <w:rsid w:val="005B57F0"/>
    <w:rsid w:val="005C047A"/>
    <w:rsid w:val="005C3BD9"/>
    <w:rsid w:val="005D0EA1"/>
    <w:rsid w:val="005D7D54"/>
    <w:rsid w:val="005E0A62"/>
    <w:rsid w:val="006012E3"/>
    <w:rsid w:val="00601B9E"/>
    <w:rsid w:val="00603E71"/>
    <w:rsid w:val="00607F94"/>
    <w:rsid w:val="0061158F"/>
    <w:rsid w:val="00616A0C"/>
    <w:rsid w:val="00620F69"/>
    <w:rsid w:val="0062353E"/>
    <w:rsid w:val="0062516F"/>
    <w:rsid w:val="00627307"/>
    <w:rsid w:val="0063069B"/>
    <w:rsid w:val="00630886"/>
    <w:rsid w:val="00631E0D"/>
    <w:rsid w:val="00640B6B"/>
    <w:rsid w:val="00644152"/>
    <w:rsid w:val="00645E29"/>
    <w:rsid w:val="00647B2F"/>
    <w:rsid w:val="00662545"/>
    <w:rsid w:val="00662D15"/>
    <w:rsid w:val="00677CA4"/>
    <w:rsid w:val="00680F02"/>
    <w:rsid w:val="00681429"/>
    <w:rsid w:val="0068177D"/>
    <w:rsid w:val="00682179"/>
    <w:rsid w:val="00683939"/>
    <w:rsid w:val="00695B4E"/>
    <w:rsid w:val="006A19E6"/>
    <w:rsid w:val="006A5A75"/>
    <w:rsid w:val="006B046E"/>
    <w:rsid w:val="006B24A3"/>
    <w:rsid w:val="006B3977"/>
    <w:rsid w:val="006B3C72"/>
    <w:rsid w:val="006B3ED7"/>
    <w:rsid w:val="006B711E"/>
    <w:rsid w:val="006C1A9F"/>
    <w:rsid w:val="006C2825"/>
    <w:rsid w:val="006C75C3"/>
    <w:rsid w:val="006C7B34"/>
    <w:rsid w:val="006D0722"/>
    <w:rsid w:val="006D4BDD"/>
    <w:rsid w:val="006E3464"/>
    <w:rsid w:val="006E55BB"/>
    <w:rsid w:val="006E7F6E"/>
    <w:rsid w:val="006F1629"/>
    <w:rsid w:val="006F771C"/>
    <w:rsid w:val="0070771A"/>
    <w:rsid w:val="00723263"/>
    <w:rsid w:val="00731D7C"/>
    <w:rsid w:val="00732671"/>
    <w:rsid w:val="00736805"/>
    <w:rsid w:val="00743667"/>
    <w:rsid w:val="00756C1D"/>
    <w:rsid w:val="00760E9A"/>
    <w:rsid w:val="00762E99"/>
    <w:rsid w:val="0076622A"/>
    <w:rsid w:val="00770E18"/>
    <w:rsid w:val="0077289F"/>
    <w:rsid w:val="00780195"/>
    <w:rsid w:val="00782DBE"/>
    <w:rsid w:val="007855B5"/>
    <w:rsid w:val="00797556"/>
    <w:rsid w:val="007B2D4F"/>
    <w:rsid w:val="007C0233"/>
    <w:rsid w:val="007C4D3F"/>
    <w:rsid w:val="007C7694"/>
    <w:rsid w:val="007D2F9B"/>
    <w:rsid w:val="007D4498"/>
    <w:rsid w:val="007D6B82"/>
    <w:rsid w:val="007E73C5"/>
    <w:rsid w:val="007E7937"/>
    <w:rsid w:val="007F05E4"/>
    <w:rsid w:val="00804907"/>
    <w:rsid w:val="0080670A"/>
    <w:rsid w:val="00824D6D"/>
    <w:rsid w:val="008258CB"/>
    <w:rsid w:val="00831BCF"/>
    <w:rsid w:val="00834FC8"/>
    <w:rsid w:val="00835DE6"/>
    <w:rsid w:val="008372DA"/>
    <w:rsid w:val="00837649"/>
    <w:rsid w:val="00840998"/>
    <w:rsid w:val="00843AB3"/>
    <w:rsid w:val="00844C9F"/>
    <w:rsid w:val="00852282"/>
    <w:rsid w:val="00861797"/>
    <w:rsid w:val="00863FA9"/>
    <w:rsid w:val="00866668"/>
    <w:rsid w:val="008710EE"/>
    <w:rsid w:val="00874C76"/>
    <w:rsid w:val="0089017F"/>
    <w:rsid w:val="00897703"/>
    <w:rsid w:val="008A5709"/>
    <w:rsid w:val="008B05B2"/>
    <w:rsid w:val="008B6289"/>
    <w:rsid w:val="008D0AEE"/>
    <w:rsid w:val="008D7F11"/>
    <w:rsid w:val="008E01E6"/>
    <w:rsid w:val="008E2AA2"/>
    <w:rsid w:val="008E3F19"/>
    <w:rsid w:val="008E7B56"/>
    <w:rsid w:val="008F0782"/>
    <w:rsid w:val="008F083E"/>
    <w:rsid w:val="008F25C8"/>
    <w:rsid w:val="008F3CAB"/>
    <w:rsid w:val="008F49DE"/>
    <w:rsid w:val="009029BB"/>
    <w:rsid w:val="00905379"/>
    <w:rsid w:val="009102ED"/>
    <w:rsid w:val="00911D04"/>
    <w:rsid w:val="00924381"/>
    <w:rsid w:val="00931451"/>
    <w:rsid w:val="009455D0"/>
    <w:rsid w:val="00951DDF"/>
    <w:rsid w:val="009521C4"/>
    <w:rsid w:val="0096788C"/>
    <w:rsid w:val="00972176"/>
    <w:rsid w:val="00974F4B"/>
    <w:rsid w:val="00974FCE"/>
    <w:rsid w:val="00975252"/>
    <w:rsid w:val="00981A6D"/>
    <w:rsid w:val="00983688"/>
    <w:rsid w:val="00983D7F"/>
    <w:rsid w:val="0099572F"/>
    <w:rsid w:val="009A4333"/>
    <w:rsid w:val="009A71EE"/>
    <w:rsid w:val="009B1346"/>
    <w:rsid w:val="009B5887"/>
    <w:rsid w:val="009D2AB9"/>
    <w:rsid w:val="009D7300"/>
    <w:rsid w:val="009E33AC"/>
    <w:rsid w:val="009E5DE9"/>
    <w:rsid w:val="00A020C4"/>
    <w:rsid w:val="00A06D4A"/>
    <w:rsid w:val="00A1583E"/>
    <w:rsid w:val="00A25C61"/>
    <w:rsid w:val="00A266B1"/>
    <w:rsid w:val="00A34860"/>
    <w:rsid w:val="00A36BAF"/>
    <w:rsid w:val="00A41E07"/>
    <w:rsid w:val="00A45751"/>
    <w:rsid w:val="00A4586A"/>
    <w:rsid w:val="00A47905"/>
    <w:rsid w:val="00A6394D"/>
    <w:rsid w:val="00A64A1F"/>
    <w:rsid w:val="00A73BA4"/>
    <w:rsid w:val="00A82807"/>
    <w:rsid w:val="00A846A7"/>
    <w:rsid w:val="00A87F62"/>
    <w:rsid w:val="00A910F6"/>
    <w:rsid w:val="00A92FCA"/>
    <w:rsid w:val="00AA37EF"/>
    <w:rsid w:val="00AA3BD9"/>
    <w:rsid w:val="00AB4E07"/>
    <w:rsid w:val="00AC4F43"/>
    <w:rsid w:val="00AE1FF4"/>
    <w:rsid w:val="00AE323B"/>
    <w:rsid w:val="00AE5D34"/>
    <w:rsid w:val="00AF24B8"/>
    <w:rsid w:val="00AF3159"/>
    <w:rsid w:val="00AF62A3"/>
    <w:rsid w:val="00B021F4"/>
    <w:rsid w:val="00B1669B"/>
    <w:rsid w:val="00B16F4A"/>
    <w:rsid w:val="00B21960"/>
    <w:rsid w:val="00B3132B"/>
    <w:rsid w:val="00B352BC"/>
    <w:rsid w:val="00B43988"/>
    <w:rsid w:val="00B61FBE"/>
    <w:rsid w:val="00B74268"/>
    <w:rsid w:val="00B74647"/>
    <w:rsid w:val="00B818F0"/>
    <w:rsid w:val="00BA3019"/>
    <w:rsid w:val="00BA3898"/>
    <w:rsid w:val="00BA594B"/>
    <w:rsid w:val="00BC23B9"/>
    <w:rsid w:val="00BC2C1C"/>
    <w:rsid w:val="00BC2CE1"/>
    <w:rsid w:val="00BD4F59"/>
    <w:rsid w:val="00BD5A10"/>
    <w:rsid w:val="00BE0F3E"/>
    <w:rsid w:val="00BE3B50"/>
    <w:rsid w:val="00BE59E7"/>
    <w:rsid w:val="00BE63DF"/>
    <w:rsid w:val="00BF09A8"/>
    <w:rsid w:val="00BF1363"/>
    <w:rsid w:val="00BF27C0"/>
    <w:rsid w:val="00BF2C51"/>
    <w:rsid w:val="00BF35E7"/>
    <w:rsid w:val="00BF6B9B"/>
    <w:rsid w:val="00BF6E6B"/>
    <w:rsid w:val="00C0219A"/>
    <w:rsid w:val="00C051DD"/>
    <w:rsid w:val="00C17946"/>
    <w:rsid w:val="00C2497C"/>
    <w:rsid w:val="00C24C9C"/>
    <w:rsid w:val="00C31349"/>
    <w:rsid w:val="00C3171B"/>
    <w:rsid w:val="00C31AB6"/>
    <w:rsid w:val="00C335A1"/>
    <w:rsid w:val="00C35FF3"/>
    <w:rsid w:val="00C36329"/>
    <w:rsid w:val="00C5552E"/>
    <w:rsid w:val="00C57473"/>
    <w:rsid w:val="00C66C22"/>
    <w:rsid w:val="00C702A5"/>
    <w:rsid w:val="00C71B21"/>
    <w:rsid w:val="00C74605"/>
    <w:rsid w:val="00C750B3"/>
    <w:rsid w:val="00C75C8A"/>
    <w:rsid w:val="00C75CC7"/>
    <w:rsid w:val="00C8134D"/>
    <w:rsid w:val="00C84625"/>
    <w:rsid w:val="00C8571B"/>
    <w:rsid w:val="00C8628E"/>
    <w:rsid w:val="00C972AC"/>
    <w:rsid w:val="00CA44C7"/>
    <w:rsid w:val="00CA54B7"/>
    <w:rsid w:val="00CB1456"/>
    <w:rsid w:val="00CB3580"/>
    <w:rsid w:val="00CB4B27"/>
    <w:rsid w:val="00CB6CDC"/>
    <w:rsid w:val="00CD7160"/>
    <w:rsid w:val="00CE4295"/>
    <w:rsid w:val="00CF45E7"/>
    <w:rsid w:val="00CF493E"/>
    <w:rsid w:val="00CF7B79"/>
    <w:rsid w:val="00D039C5"/>
    <w:rsid w:val="00D03A88"/>
    <w:rsid w:val="00D04DD3"/>
    <w:rsid w:val="00D068FC"/>
    <w:rsid w:val="00D2441A"/>
    <w:rsid w:val="00D30732"/>
    <w:rsid w:val="00D33EB9"/>
    <w:rsid w:val="00D520F3"/>
    <w:rsid w:val="00D540F1"/>
    <w:rsid w:val="00D567DA"/>
    <w:rsid w:val="00D71EB3"/>
    <w:rsid w:val="00D7467C"/>
    <w:rsid w:val="00D844E3"/>
    <w:rsid w:val="00DA3307"/>
    <w:rsid w:val="00DB0069"/>
    <w:rsid w:val="00DB0985"/>
    <w:rsid w:val="00DB0C48"/>
    <w:rsid w:val="00DC2015"/>
    <w:rsid w:val="00DC5B00"/>
    <w:rsid w:val="00DE0A7E"/>
    <w:rsid w:val="00DE1821"/>
    <w:rsid w:val="00DE3425"/>
    <w:rsid w:val="00DE4EE0"/>
    <w:rsid w:val="00DE56FC"/>
    <w:rsid w:val="00DF1653"/>
    <w:rsid w:val="00DF240D"/>
    <w:rsid w:val="00DF3186"/>
    <w:rsid w:val="00E04445"/>
    <w:rsid w:val="00E07C1C"/>
    <w:rsid w:val="00E1097E"/>
    <w:rsid w:val="00E17153"/>
    <w:rsid w:val="00E258A6"/>
    <w:rsid w:val="00E272B1"/>
    <w:rsid w:val="00E33264"/>
    <w:rsid w:val="00E37271"/>
    <w:rsid w:val="00E430DA"/>
    <w:rsid w:val="00E46050"/>
    <w:rsid w:val="00E5018C"/>
    <w:rsid w:val="00E510A7"/>
    <w:rsid w:val="00E52CC6"/>
    <w:rsid w:val="00E53956"/>
    <w:rsid w:val="00E5681B"/>
    <w:rsid w:val="00E5766F"/>
    <w:rsid w:val="00E71B30"/>
    <w:rsid w:val="00E762AB"/>
    <w:rsid w:val="00E82268"/>
    <w:rsid w:val="00E85986"/>
    <w:rsid w:val="00E90C39"/>
    <w:rsid w:val="00E913FB"/>
    <w:rsid w:val="00EA1075"/>
    <w:rsid w:val="00EA7675"/>
    <w:rsid w:val="00EB40BE"/>
    <w:rsid w:val="00EB4234"/>
    <w:rsid w:val="00EB5DE1"/>
    <w:rsid w:val="00EC096C"/>
    <w:rsid w:val="00EC740A"/>
    <w:rsid w:val="00ED31F4"/>
    <w:rsid w:val="00ED51FE"/>
    <w:rsid w:val="00ED52F8"/>
    <w:rsid w:val="00ED5972"/>
    <w:rsid w:val="00ED7ED4"/>
    <w:rsid w:val="00EE0958"/>
    <w:rsid w:val="00EE44FD"/>
    <w:rsid w:val="00F01C87"/>
    <w:rsid w:val="00F06BEA"/>
    <w:rsid w:val="00F10255"/>
    <w:rsid w:val="00F318A1"/>
    <w:rsid w:val="00F52A51"/>
    <w:rsid w:val="00F52F0D"/>
    <w:rsid w:val="00F53083"/>
    <w:rsid w:val="00F553D4"/>
    <w:rsid w:val="00F55704"/>
    <w:rsid w:val="00F624F8"/>
    <w:rsid w:val="00F70D45"/>
    <w:rsid w:val="00F717B1"/>
    <w:rsid w:val="00F73E18"/>
    <w:rsid w:val="00F7453F"/>
    <w:rsid w:val="00F8042F"/>
    <w:rsid w:val="00F804CF"/>
    <w:rsid w:val="00F80867"/>
    <w:rsid w:val="00F80AED"/>
    <w:rsid w:val="00F81006"/>
    <w:rsid w:val="00F8573F"/>
    <w:rsid w:val="00F91369"/>
    <w:rsid w:val="00F91FD9"/>
    <w:rsid w:val="00F9639F"/>
    <w:rsid w:val="00F96821"/>
    <w:rsid w:val="00FA09D9"/>
    <w:rsid w:val="00FA110C"/>
    <w:rsid w:val="00FA145F"/>
    <w:rsid w:val="00FA439E"/>
    <w:rsid w:val="00FA71EF"/>
    <w:rsid w:val="00FA7D2D"/>
    <w:rsid w:val="00FB10A7"/>
    <w:rsid w:val="00FB573B"/>
    <w:rsid w:val="00FC28C5"/>
    <w:rsid w:val="00FE1D40"/>
    <w:rsid w:val="00FE35EC"/>
    <w:rsid w:val="00FE637B"/>
    <w:rsid w:val="00FF182D"/>
    <w:rsid w:val="00FF20F4"/>
    <w:rsid w:val="00FF3D5C"/>
    <w:rsid w:val="00F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AAB"/>
  <w15:docId w15:val="{DDBA1C2D-D8C0-4F62-9752-A692ED61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D83806-CFCE-49D8-B484-327FFE1E4B4E}"/>
      </w:docPartPr>
      <w:docPartBody>
        <w:p w:rsidR="00A001F3" w:rsidRDefault="00F020BF"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7E52357633914F15A4EEE03AD3BCA0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3FDD34-F556-4117-8B8B-D8A4B76B178A}"/>
      </w:docPartPr>
      <w:docPartBody>
        <w:p w:rsidR="002E0D07" w:rsidRDefault="000932CB" w:rsidP="000932CB">
          <w:pPr>
            <w:pStyle w:val="7E52357633914F15A4EEE03AD3BCA0D1"/>
          </w:pPr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169110AA3E60411FBADE7382000448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AE717F-946E-4837-8B31-86AEB6AD538F}"/>
      </w:docPartPr>
      <w:docPartBody>
        <w:p w:rsidR="00C35533" w:rsidRDefault="00960EFB" w:rsidP="00960EFB">
          <w:pPr>
            <w:pStyle w:val="169110AA3E60411FBADE7382000448CB"/>
          </w:pPr>
          <w:r w:rsidRPr="00444CC8">
            <w:rPr>
              <w:rStyle w:val="a3"/>
            </w:rPr>
            <w:t>Выберите элемент.</w:t>
          </w:r>
        </w:p>
      </w:docPartBody>
    </w:docPart>
    <w:docPart>
      <w:docPartPr>
        <w:name w:val="A83989CA783344338E3099A3D9DD63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92BA10-F6A1-41CC-B3B2-8313B29ADADF}"/>
      </w:docPartPr>
      <w:docPartBody>
        <w:p w:rsidR="006D381C" w:rsidRDefault="00BE10F5" w:rsidP="00BE10F5">
          <w:pPr>
            <w:pStyle w:val="A83989CA783344338E3099A3D9DD63B7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2A9B67DFDF7242DEB4456FF8A5D93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0A8707-C65B-4CA4-998A-CC3A61244146}"/>
      </w:docPartPr>
      <w:docPartBody>
        <w:p w:rsidR="006D381C" w:rsidRDefault="00BE10F5" w:rsidP="00BE10F5">
          <w:pPr>
            <w:pStyle w:val="2A9B67DFDF7242DEB4456FF8A5D93501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B72C04A909D14534AF9CFE4F91421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7F4CC9-4162-48B7-80AB-225AA2FB75EF}"/>
      </w:docPartPr>
      <w:docPartBody>
        <w:p w:rsidR="006D381C" w:rsidRDefault="00BE10F5" w:rsidP="00BE10F5">
          <w:pPr>
            <w:pStyle w:val="B72C04A909D14534AF9CFE4F91421874"/>
          </w:pPr>
          <w:r w:rsidRPr="00CD2459">
            <w:rPr>
              <w:rStyle w:val="a3"/>
            </w:rPr>
            <w:t>Выберите элемент.</w:t>
          </w:r>
        </w:p>
      </w:docPartBody>
    </w:docPart>
    <w:docPart>
      <w:docPartPr>
        <w:name w:val="5F358BDFB06A47DCA7C399698A896B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25AC6D-0347-40FE-B543-4C32CA1A0186}"/>
      </w:docPartPr>
      <w:docPartBody>
        <w:p w:rsidR="00746692" w:rsidRDefault="006D381C" w:rsidP="006D381C">
          <w:pPr>
            <w:pStyle w:val="5F358BDFB06A47DCA7C399698A896BD6"/>
          </w:pPr>
          <w:r w:rsidRPr="00586D6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0BF"/>
    <w:rsid w:val="00026CDD"/>
    <w:rsid w:val="0003147D"/>
    <w:rsid w:val="00074A2A"/>
    <w:rsid w:val="000932CB"/>
    <w:rsid w:val="00102008"/>
    <w:rsid w:val="001029A7"/>
    <w:rsid w:val="00154AD2"/>
    <w:rsid w:val="001924BE"/>
    <w:rsid w:val="00193007"/>
    <w:rsid w:val="001D4CBF"/>
    <w:rsid w:val="001F5869"/>
    <w:rsid w:val="002046A8"/>
    <w:rsid w:val="002079C9"/>
    <w:rsid w:val="00210379"/>
    <w:rsid w:val="00230AC1"/>
    <w:rsid w:val="002530C8"/>
    <w:rsid w:val="002A4582"/>
    <w:rsid w:val="002D2F5F"/>
    <w:rsid w:val="002D41C8"/>
    <w:rsid w:val="002E0318"/>
    <w:rsid w:val="002E0D07"/>
    <w:rsid w:val="002E19A8"/>
    <w:rsid w:val="0031338D"/>
    <w:rsid w:val="003356B1"/>
    <w:rsid w:val="00340C38"/>
    <w:rsid w:val="0034447B"/>
    <w:rsid w:val="0036658C"/>
    <w:rsid w:val="00386869"/>
    <w:rsid w:val="00386F16"/>
    <w:rsid w:val="003F1270"/>
    <w:rsid w:val="003F58CB"/>
    <w:rsid w:val="00432443"/>
    <w:rsid w:val="004710FE"/>
    <w:rsid w:val="00490D95"/>
    <w:rsid w:val="00497AB4"/>
    <w:rsid w:val="004A368E"/>
    <w:rsid w:val="004D5603"/>
    <w:rsid w:val="004F368C"/>
    <w:rsid w:val="004F6B9E"/>
    <w:rsid w:val="005349CD"/>
    <w:rsid w:val="00540DA8"/>
    <w:rsid w:val="00543439"/>
    <w:rsid w:val="005462CC"/>
    <w:rsid w:val="005738EE"/>
    <w:rsid w:val="005979FA"/>
    <w:rsid w:val="005B1DF1"/>
    <w:rsid w:val="005B4335"/>
    <w:rsid w:val="005D0C43"/>
    <w:rsid w:val="00612145"/>
    <w:rsid w:val="00612197"/>
    <w:rsid w:val="00613211"/>
    <w:rsid w:val="006170B8"/>
    <w:rsid w:val="00653063"/>
    <w:rsid w:val="006B1A91"/>
    <w:rsid w:val="006D381C"/>
    <w:rsid w:val="006D7866"/>
    <w:rsid w:val="00725F5E"/>
    <w:rsid w:val="00740BAA"/>
    <w:rsid w:val="00745E3C"/>
    <w:rsid w:val="00746692"/>
    <w:rsid w:val="00796BD5"/>
    <w:rsid w:val="007F5932"/>
    <w:rsid w:val="007F5A05"/>
    <w:rsid w:val="00800FCB"/>
    <w:rsid w:val="0085494B"/>
    <w:rsid w:val="0085531F"/>
    <w:rsid w:val="00890E82"/>
    <w:rsid w:val="00932987"/>
    <w:rsid w:val="0094025F"/>
    <w:rsid w:val="009442F1"/>
    <w:rsid w:val="00960EFB"/>
    <w:rsid w:val="00967D49"/>
    <w:rsid w:val="009969EE"/>
    <w:rsid w:val="009A7B49"/>
    <w:rsid w:val="009B69D4"/>
    <w:rsid w:val="009D0CD0"/>
    <w:rsid w:val="009D7600"/>
    <w:rsid w:val="009E45D6"/>
    <w:rsid w:val="00A001F3"/>
    <w:rsid w:val="00A24836"/>
    <w:rsid w:val="00A4682C"/>
    <w:rsid w:val="00A743F1"/>
    <w:rsid w:val="00A87B90"/>
    <w:rsid w:val="00A87F64"/>
    <w:rsid w:val="00AB1A83"/>
    <w:rsid w:val="00AB56AE"/>
    <w:rsid w:val="00AE02E1"/>
    <w:rsid w:val="00AF7D33"/>
    <w:rsid w:val="00B13976"/>
    <w:rsid w:val="00BE10F5"/>
    <w:rsid w:val="00C12C92"/>
    <w:rsid w:val="00C35533"/>
    <w:rsid w:val="00C70E63"/>
    <w:rsid w:val="00CA5A06"/>
    <w:rsid w:val="00CB15FF"/>
    <w:rsid w:val="00CF3359"/>
    <w:rsid w:val="00D06E9F"/>
    <w:rsid w:val="00D304FD"/>
    <w:rsid w:val="00D724AF"/>
    <w:rsid w:val="00D75F1F"/>
    <w:rsid w:val="00D811F9"/>
    <w:rsid w:val="00D856F2"/>
    <w:rsid w:val="00DB2DC7"/>
    <w:rsid w:val="00DD4F2C"/>
    <w:rsid w:val="00E52939"/>
    <w:rsid w:val="00E870B8"/>
    <w:rsid w:val="00E87E21"/>
    <w:rsid w:val="00EB5074"/>
    <w:rsid w:val="00ED1BD5"/>
    <w:rsid w:val="00EE1A82"/>
    <w:rsid w:val="00F01722"/>
    <w:rsid w:val="00F020BF"/>
    <w:rsid w:val="00F5047D"/>
    <w:rsid w:val="00F66CD3"/>
    <w:rsid w:val="00F75EF1"/>
    <w:rsid w:val="00F769B4"/>
    <w:rsid w:val="00F83884"/>
    <w:rsid w:val="00F92DAA"/>
    <w:rsid w:val="00FA61EF"/>
    <w:rsid w:val="00F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6D381C"/>
    <w:rPr>
      <w:color w:val="808080"/>
    </w:rPr>
  </w:style>
  <w:style w:type="paragraph" w:customStyle="1" w:styleId="7E52357633914F15A4EEE03AD3BCA0D1">
    <w:name w:val="7E52357633914F15A4EEE03AD3BCA0D1"/>
    <w:rsid w:val="000932CB"/>
  </w:style>
  <w:style w:type="paragraph" w:customStyle="1" w:styleId="169110AA3E60411FBADE7382000448CB">
    <w:name w:val="169110AA3E60411FBADE7382000448CB"/>
    <w:rsid w:val="00960EFB"/>
  </w:style>
  <w:style w:type="paragraph" w:customStyle="1" w:styleId="A83989CA783344338E3099A3D9DD63B7">
    <w:name w:val="A83989CA783344338E3099A3D9DD63B7"/>
    <w:rsid w:val="00BE10F5"/>
  </w:style>
  <w:style w:type="paragraph" w:customStyle="1" w:styleId="2A9B67DFDF7242DEB4456FF8A5D93501">
    <w:name w:val="2A9B67DFDF7242DEB4456FF8A5D93501"/>
    <w:rsid w:val="00BE10F5"/>
  </w:style>
  <w:style w:type="paragraph" w:customStyle="1" w:styleId="B72C04A909D14534AF9CFE4F91421874">
    <w:name w:val="B72C04A909D14534AF9CFE4F91421874"/>
    <w:rsid w:val="00BE10F5"/>
  </w:style>
  <w:style w:type="paragraph" w:customStyle="1" w:styleId="5F358BDFB06A47DCA7C399698A896BD6">
    <w:name w:val="5F358BDFB06A47DCA7C399698A896BD6"/>
    <w:rsid w:val="006D38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5EA72-94BC-40A3-87F5-198EA3D2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3197</Words>
  <Characters>18227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Рыженко Денис</cp:lastModifiedBy>
  <cp:revision>4</cp:revision>
  <cp:lastPrinted>2014-11-14T11:53:00Z</cp:lastPrinted>
  <dcterms:created xsi:type="dcterms:W3CDTF">2023-08-16T09:39:00Z</dcterms:created>
  <dcterms:modified xsi:type="dcterms:W3CDTF">2023-08-16T17:12:00Z</dcterms:modified>
</cp:coreProperties>
</file>