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1"/>
        <w:tblpPr w:leftFromText="180" w:rightFromText="180" w:vertAnchor="text" w:horzAnchor="margin" w:tblpY="-4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55F87" w:rsidRPr="00807A7A" w14:paraId="7C322517" w14:textId="77777777" w:rsidTr="00E85EC1">
        <w:tc>
          <w:tcPr>
            <w:tcW w:w="4672" w:type="dxa"/>
          </w:tcPr>
          <w:p w14:paraId="24D23309" w14:textId="78731696" w:rsidR="00B55F87" w:rsidRPr="00E85EC1" w:rsidRDefault="00B55F87" w:rsidP="00B55F87">
            <w:pPr>
              <w:rPr>
                <w:rFonts w:ascii="Times New Roman" w:hAnsi="Times New Roman" w:cs="Times New Roman"/>
                <w:b/>
                <w:sz w:val="18"/>
                <w:szCs w:val="18"/>
              </w:rPr>
            </w:pPr>
            <w:bookmarkStart w:id="0" w:name="_GoBack"/>
            <w:bookmarkEnd w:id="0"/>
          </w:p>
        </w:tc>
        <w:tc>
          <w:tcPr>
            <w:tcW w:w="4672" w:type="dxa"/>
          </w:tcPr>
          <w:p w14:paraId="2EFCA6EE" w14:textId="4F667792" w:rsidR="00B55F87" w:rsidRPr="00E85EC1" w:rsidRDefault="00B55F87" w:rsidP="00B55F87">
            <w:pPr>
              <w:pStyle w:val="ac"/>
              <w:jc w:val="right"/>
              <w:rPr>
                <w:sz w:val="16"/>
                <w:szCs w:val="16"/>
              </w:rPr>
            </w:pPr>
            <w:r w:rsidRPr="00E85EC1">
              <w:rPr>
                <w:sz w:val="16"/>
                <w:szCs w:val="16"/>
              </w:rPr>
              <w:t>Приложение № 2.5</w:t>
            </w:r>
          </w:p>
          <w:p w14:paraId="2D9CB6F4" w14:textId="77777777" w:rsidR="00B55F87" w:rsidRPr="00E85EC1" w:rsidRDefault="00B55F87" w:rsidP="00B55F87">
            <w:pPr>
              <w:pStyle w:val="ac"/>
              <w:jc w:val="right"/>
              <w:rPr>
                <w:sz w:val="16"/>
                <w:szCs w:val="16"/>
              </w:rPr>
            </w:pPr>
            <w:r w:rsidRPr="00E85EC1">
              <w:rPr>
                <w:sz w:val="16"/>
                <w:szCs w:val="16"/>
              </w:rPr>
              <w:t>к Регламенту брокерского обслуживания</w:t>
            </w:r>
          </w:p>
          <w:p w14:paraId="702374D9" w14:textId="45AFC0CB" w:rsidR="00B55F87" w:rsidRPr="00E85EC1" w:rsidRDefault="00D525B5" w:rsidP="00B55F87">
            <w:pPr>
              <w:pStyle w:val="ac"/>
              <w:jc w:val="right"/>
              <w:rPr>
                <w:sz w:val="16"/>
                <w:szCs w:val="16"/>
              </w:rPr>
            </w:pPr>
            <w:r>
              <w:rPr>
                <w:sz w:val="16"/>
                <w:szCs w:val="16"/>
              </w:rPr>
              <w:t>А</w:t>
            </w:r>
            <w:r w:rsidR="00B55F87" w:rsidRPr="00E85EC1">
              <w:rPr>
                <w:sz w:val="16"/>
                <w:szCs w:val="16"/>
              </w:rPr>
              <w:t>О «</w:t>
            </w:r>
            <w:r w:rsidR="0011706A">
              <w:rPr>
                <w:sz w:val="16"/>
                <w:szCs w:val="16"/>
              </w:rPr>
              <w:t>И</w:t>
            </w:r>
            <w:r w:rsidR="00B55F87" w:rsidRPr="00E85EC1">
              <w:rPr>
                <w:sz w:val="16"/>
                <w:szCs w:val="16"/>
              </w:rPr>
              <w:t>К «Горизонт»</w:t>
            </w:r>
          </w:p>
          <w:p w14:paraId="1B468A3E" w14:textId="77777777" w:rsidR="00B55F87" w:rsidRPr="00E85EC1" w:rsidRDefault="00B55F87" w:rsidP="00B55F87">
            <w:pPr>
              <w:rPr>
                <w:rFonts w:ascii="Times New Roman" w:hAnsi="Times New Roman" w:cs="Times New Roman"/>
                <w:b/>
                <w:sz w:val="18"/>
                <w:szCs w:val="18"/>
              </w:rPr>
            </w:pPr>
          </w:p>
        </w:tc>
      </w:tr>
    </w:tbl>
    <w:p w14:paraId="516A22CA" w14:textId="77777777" w:rsidR="006A1538" w:rsidRPr="00E85EC1" w:rsidRDefault="006A1538" w:rsidP="00E85EC1">
      <w:pPr>
        <w:autoSpaceDE w:val="0"/>
        <w:autoSpaceDN w:val="0"/>
        <w:adjustRightInd w:val="0"/>
        <w:spacing w:after="120" w:line="240" w:lineRule="auto"/>
        <w:rPr>
          <w:rFonts w:ascii="Times New Roman" w:hAnsi="Times New Roman" w:cs="Times New Roman"/>
          <w:b/>
          <w:bCs/>
          <w:sz w:val="18"/>
          <w:szCs w:val="18"/>
        </w:rPr>
      </w:pPr>
    </w:p>
    <w:p w14:paraId="7DFF05D7" w14:textId="1D3BE426" w:rsidR="006A1538" w:rsidRPr="00E85EC1" w:rsidRDefault="006A1538" w:rsidP="00E57CAC">
      <w:pPr>
        <w:spacing w:after="6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Перечень рисков, представленный в настоящем </w:t>
      </w:r>
      <w:r w:rsidR="00C149E9" w:rsidRPr="00E85EC1">
        <w:rPr>
          <w:rFonts w:ascii="Times New Roman" w:hAnsi="Times New Roman" w:cs="Times New Roman"/>
          <w:sz w:val="18"/>
          <w:szCs w:val="18"/>
        </w:rPr>
        <w:t>П</w:t>
      </w:r>
      <w:r w:rsidRPr="00E85EC1">
        <w:rPr>
          <w:rFonts w:ascii="Times New Roman" w:hAnsi="Times New Roman" w:cs="Times New Roman"/>
          <w:sz w:val="18"/>
          <w:szCs w:val="18"/>
        </w:rPr>
        <w:t>риложении</w:t>
      </w:r>
      <w:r w:rsidR="00C149E9" w:rsidRPr="00E85EC1">
        <w:rPr>
          <w:rFonts w:ascii="Times New Roman" w:hAnsi="Times New Roman" w:cs="Times New Roman"/>
          <w:sz w:val="18"/>
          <w:szCs w:val="18"/>
        </w:rPr>
        <w:t xml:space="preserve"> к Регламенту</w:t>
      </w:r>
      <w:r w:rsidR="00E57CAC">
        <w:rPr>
          <w:rFonts w:ascii="Times New Roman" w:hAnsi="Times New Roman" w:cs="Times New Roman"/>
          <w:sz w:val="18"/>
          <w:szCs w:val="18"/>
        </w:rPr>
        <w:t xml:space="preserve"> </w:t>
      </w:r>
      <w:r w:rsidR="00E57CAC" w:rsidRPr="00E57CAC">
        <w:rPr>
          <w:rFonts w:ascii="Times New Roman" w:hAnsi="Times New Roman" w:cs="Times New Roman"/>
          <w:sz w:val="18"/>
          <w:szCs w:val="18"/>
        </w:rPr>
        <w:t>брокерского обслуживания</w:t>
      </w:r>
      <w:r w:rsidR="00E57CAC">
        <w:rPr>
          <w:rFonts w:ascii="Times New Roman" w:hAnsi="Times New Roman" w:cs="Times New Roman"/>
          <w:sz w:val="18"/>
          <w:szCs w:val="18"/>
        </w:rPr>
        <w:t xml:space="preserve"> </w:t>
      </w:r>
      <w:r w:rsidR="00D525B5">
        <w:rPr>
          <w:rFonts w:ascii="Times New Roman" w:hAnsi="Times New Roman" w:cs="Times New Roman"/>
          <w:sz w:val="18"/>
          <w:szCs w:val="18"/>
        </w:rPr>
        <w:t>А</w:t>
      </w:r>
      <w:r w:rsidR="00E57CAC" w:rsidRPr="00E57CAC">
        <w:rPr>
          <w:rFonts w:ascii="Times New Roman" w:hAnsi="Times New Roman" w:cs="Times New Roman"/>
          <w:sz w:val="18"/>
          <w:szCs w:val="18"/>
        </w:rPr>
        <w:t>О «</w:t>
      </w:r>
      <w:r w:rsidR="00D525B5">
        <w:rPr>
          <w:rFonts w:ascii="Times New Roman" w:hAnsi="Times New Roman" w:cs="Times New Roman"/>
          <w:sz w:val="18"/>
          <w:szCs w:val="18"/>
        </w:rPr>
        <w:t>И</w:t>
      </w:r>
      <w:r w:rsidR="00E57CAC" w:rsidRPr="00E57CAC">
        <w:rPr>
          <w:rFonts w:ascii="Times New Roman" w:hAnsi="Times New Roman" w:cs="Times New Roman"/>
          <w:sz w:val="18"/>
          <w:szCs w:val="18"/>
        </w:rPr>
        <w:t>К «Горизонт»</w:t>
      </w:r>
      <w:r w:rsidRPr="00E85EC1">
        <w:rPr>
          <w:rFonts w:ascii="Times New Roman" w:hAnsi="Times New Roman" w:cs="Times New Roman"/>
          <w:sz w:val="18"/>
          <w:szCs w:val="18"/>
        </w:rPr>
        <w:t>, не является исчерпывающим и не раскрывает информации обо всех рисках, связанных с инвестированием в ценные бумаги, иные финансовые инструменты, с совершением сделок с иностранной валютой и драгоценными металлами, с заключением договоров, являющихся производными финансовыми инструментами вследствие разнообразия ситуаций, возникающих на рынке ценных бумаг.</w:t>
      </w:r>
    </w:p>
    <w:p w14:paraId="7D167EAA" w14:textId="187EAE7B" w:rsidR="006A1538" w:rsidRPr="00E85EC1" w:rsidRDefault="006A1538" w:rsidP="00E85EC1">
      <w:pPr>
        <w:spacing w:after="60" w:line="240" w:lineRule="auto"/>
        <w:jc w:val="both"/>
        <w:rPr>
          <w:rFonts w:ascii="Times New Roman" w:hAnsi="Times New Roman" w:cs="Times New Roman"/>
          <w:sz w:val="18"/>
          <w:szCs w:val="18"/>
        </w:rPr>
      </w:pPr>
      <w:r w:rsidRPr="00E85EC1">
        <w:rPr>
          <w:rFonts w:ascii="Times New Roman" w:hAnsi="Times New Roman" w:cs="Times New Roman"/>
          <w:sz w:val="18"/>
          <w:szCs w:val="18"/>
        </w:rPr>
        <w:t>Декларации и уведомления призваны помочь Клиенту понять риски, связанные с инвестированием в финансовые инструменты, определить их приемлемость для себя, реально оценить свои финансовые цели и возможности.</w:t>
      </w:r>
    </w:p>
    <w:p w14:paraId="79423C76" w14:textId="77777777" w:rsidR="006A1538" w:rsidRPr="00E85EC1" w:rsidRDefault="006A1538" w:rsidP="00481756">
      <w:pPr>
        <w:autoSpaceDE w:val="0"/>
        <w:autoSpaceDN w:val="0"/>
        <w:adjustRightInd w:val="0"/>
        <w:spacing w:after="120" w:line="240" w:lineRule="auto"/>
        <w:rPr>
          <w:rFonts w:ascii="Times New Roman" w:hAnsi="Times New Roman" w:cs="Times New Roman"/>
          <w:b/>
          <w:bCs/>
          <w:sz w:val="18"/>
          <w:szCs w:val="18"/>
        </w:rPr>
      </w:pPr>
    </w:p>
    <w:p w14:paraId="1C5D35EE" w14:textId="5660371C" w:rsidR="00370C69" w:rsidRPr="00E85EC1" w:rsidRDefault="00370C69" w:rsidP="00CD72D7">
      <w:pPr>
        <w:autoSpaceDE w:val="0"/>
        <w:autoSpaceDN w:val="0"/>
        <w:adjustRightInd w:val="0"/>
        <w:spacing w:after="120" w:line="240" w:lineRule="auto"/>
        <w:jc w:val="center"/>
        <w:rPr>
          <w:rFonts w:ascii="Times New Roman" w:hAnsi="Times New Roman" w:cs="Times New Roman"/>
          <w:b/>
          <w:bCs/>
          <w:sz w:val="18"/>
          <w:szCs w:val="18"/>
        </w:rPr>
      </w:pPr>
      <w:r w:rsidRPr="00E85EC1">
        <w:rPr>
          <w:rFonts w:ascii="Times New Roman" w:hAnsi="Times New Roman" w:cs="Times New Roman"/>
          <w:b/>
          <w:bCs/>
          <w:sz w:val="18"/>
          <w:szCs w:val="18"/>
        </w:rPr>
        <w:t>Деклараци</w:t>
      </w:r>
      <w:r w:rsidR="00C149E9" w:rsidRPr="00E85EC1">
        <w:rPr>
          <w:rFonts w:ascii="Times New Roman" w:hAnsi="Times New Roman" w:cs="Times New Roman"/>
          <w:b/>
          <w:bCs/>
          <w:sz w:val="18"/>
          <w:szCs w:val="18"/>
        </w:rPr>
        <w:t>я</w:t>
      </w:r>
      <w:r w:rsidRPr="00E85EC1">
        <w:rPr>
          <w:rFonts w:ascii="Times New Roman" w:hAnsi="Times New Roman" w:cs="Times New Roman"/>
          <w:b/>
          <w:bCs/>
          <w:sz w:val="18"/>
          <w:szCs w:val="18"/>
        </w:rPr>
        <w:t xml:space="preserve"> о рисках</w:t>
      </w:r>
    </w:p>
    <w:p w14:paraId="11214F00" w14:textId="45E06773" w:rsidR="00624CEF" w:rsidRPr="00624CEF" w:rsidRDefault="00624CEF" w:rsidP="0040768D">
      <w:pPr>
        <w:autoSpaceDE w:val="0"/>
        <w:autoSpaceDN w:val="0"/>
        <w:adjustRightInd w:val="0"/>
        <w:spacing w:after="120" w:line="240" w:lineRule="auto"/>
        <w:jc w:val="both"/>
        <w:rPr>
          <w:rFonts w:ascii="Times New Roman" w:hAnsi="Times New Roman" w:cs="Times New Roman"/>
          <w:sz w:val="18"/>
          <w:szCs w:val="18"/>
        </w:rPr>
      </w:pPr>
    </w:p>
    <w:p w14:paraId="17C2DF71" w14:textId="77777777" w:rsidR="00624CEF" w:rsidRPr="00015175" w:rsidRDefault="00624CEF" w:rsidP="00624CEF">
      <w:pPr>
        <w:pStyle w:val="a3"/>
        <w:numPr>
          <w:ilvl w:val="0"/>
          <w:numId w:val="17"/>
        </w:numPr>
        <w:autoSpaceDE w:val="0"/>
        <w:autoSpaceDN w:val="0"/>
        <w:adjustRightInd w:val="0"/>
        <w:spacing w:after="120" w:line="240" w:lineRule="auto"/>
        <w:jc w:val="center"/>
        <w:rPr>
          <w:rFonts w:ascii="Times New Roman" w:hAnsi="Times New Roman" w:cs="Times New Roman"/>
          <w:b/>
          <w:bCs/>
          <w:sz w:val="18"/>
          <w:szCs w:val="18"/>
        </w:rPr>
      </w:pPr>
      <w:r w:rsidRPr="00015175">
        <w:rPr>
          <w:rFonts w:ascii="Times New Roman" w:hAnsi="Times New Roman" w:cs="Times New Roman"/>
          <w:b/>
          <w:bCs/>
          <w:sz w:val="18"/>
          <w:szCs w:val="18"/>
        </w:rPr>
        <w:t>Декларация о рисках, связанных с совершением операций на рынке ценных бумаг</w:t>
      </w:r>
    </w:p>
    <w:p w14:paraId="2A02BDBB"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lastRenderedPageBreak/>
        <w:t>Цель настоящей декларации — предоставить Вам информацию об основных рисках, связанных с совершением операций на рынке ценных бумаг. Обращаем Ваше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w:t>
      </w:r>
    </w:p>
    <w:p w14:paraId="463573F1"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14:paraId="0BADC98F"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1. Системный риск </w:t>
      </w:r>
    </w:p>
    <w:p w14:paraId="251A20BB"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14:paraId="76667F18"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2. Рыночный риск</w:t>
      </w:r>
    </w:p>
    <w:p w14:paraId="5526C1C4"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Этот риск проявляется в неблагоприятном изменении цен принадлежащих Вам финансовых инструментов, в том числе из-за неблагоприятного изменения рыночных условий для эмитента,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14:paraId="4AE45465"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Следует специально обратить внимание на следующие рыночные риски: </w:t>
      </w:r>
    </w:p>
    <w:p w14:paraId="34867884"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1). Валютный риск</w:t>
      </w:r>
    </w:p>
    <w:p w14:paraId="25CA20EB"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Валютный риск проявляется в неблагоприятном изменении курса рубля по отношению к иностранной валюте, при котором Ваши доходы от операций с финансовыми инструментами могут быть подвержены инфляционному воздействию (снижению реальной покупательной способности), вследствие чего Вы можете потерять часть дохода, а также понести убытки, по сравнению с соответствующей иностранной валютой или выраженными в ней финансовыми инструментами. Валютный риск также может проявляться в неблагоприятном изменении курса иностранной валюты по отношению к рублю, вследствие чего Вы можете потерять часть дохода, а также понести убытки от операций с финансовыми инструментами, связанными с иностранной валютой, по сравнению с российскими финансовыми инструментами, выраженными в рублях.</w:t>
      </w:r>
    </w:p>
    <w:p w14:paraId="565D9D5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2). Процентный риск</w:t>
      </w:r>
    </w:p>
    <w:p w14:paraId="606A788F"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Этот риск проявляется в неблагоприятном изменении процентной ставки, влияющей на курсовую стоимость облигаций с фиксированным доходом, что приводит к снижению стоимости таких облигаций.</w:t>
      </w:r>
    </w:p>
    <w:p w14:paraId="6F9FF13E"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3). Риск банкротства эмитента акций</w:t>
      </w:r>
    </w:p>
    <w:p w14:paraId="65F6DBEB"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Риск банкротства акционерного общества проявляется в резком падении цены акций акционерного общества, признанного несостоятельным, или в предвидении такой несостоятельности.</w:t>
      </w:r>
    </w:p>
    <w:p w14:paraId="4A5FC513"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Для того чтобы снизить рыночный риск, Вам следует внимательно отнестись к выбору финансовых инструментов и их диверсификации, то есть к составу финансовых инструментов, которые Вы намерены приобрести. Кроме того, внимательно ознакомьтесь с условиями Вашего взаимодействия с Вашим брокером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дохода.</w:t>
      </w:r>
    </w:p>
    <w:p w14:paraId="571849A9"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3. Риск ликвидности</w:t>
      </w:r>
    </w:p>
    <w:p w14:paraId="59CEB77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Этот риск проявляется в снижении возможности реализовать финансовые инструменты по приемлемой цене из-за снижения спроса на них, то есть в убытках, связанных со значительным снижением стоимости финансовых инструментов, по которой их придется продать при возникновении такой необходимости.</w:t>
      </w:r>
    </w:p>
    <w:p w14:paraId="6A61B06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4. Кредитный риск</w:t>
      </w:r>
    </w:p>
    <w:p w14:paraId="40B9BE54"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lastRenderedPageBreak/>
        <w:t>Этот риск заключается в возможности невыполнения договорных и иных обязательств, принятых на себя эмитентами ценных бумаг и другими лицами в связи с Вашими операциями.</w:t>
      </w:r>
    </w:p>
    <w:p w14:paraId="30C784F8"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К числу кредитных рисков относятся следующие риски:</w:t>
      </w:r>
    </w:p>
    <w:p w14:paraId="7144D98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1). Риск дефолта по облигациям и иным долговым ценным бумагам</w:t>
      </w:r>
    </w:p>
    <w:p w14:paraId="79595200"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Этот риск заключается в возможной неплатежеспособности эмитента долговых ценных бумаг, что приведет к невозможности или снижению вероятности погасить их в срок и в полном объеме.</w:t>
      </w:r>
    </w:p>
    <w:p w14:paraId="72ABBAE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2). Риск контрагента</w:t>
      </w:r>
    </w:p>
    <w:p w14:paraId="412E9905"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Риск контрагента - третьего лица проявляется в риске неисполнения обязательств перед Вами или Вашим брокером со стороны контрагентов. Ваш брокер должен принимать меры по минимизации риска контрагента, однако не может исключить его полностью. </w:t>
      </w:r>
    </w:p>
    <w:p w14:paraId="33B131F4"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Особенно высок риск контрагента по операциям, совершаемым на внебиржевом рынке, без участия клиринговых организаций, которые в значительной мере принимают на себя риски неисполнения обязательств. </w:t>
      </w:r>
    </w:p>
    <w:p w14:paraId="2FD62F04"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lastRenderedPageBreak/>
        <w:t xml:space="preserve">Вы должны отдавать себе отчет в том, что хотя брокер действует в Ваших интересах, риски, которые он принимает в результате таких действий, в том числе риск неисполнения или ненадлежащего исполнения обязательств третьих лиц перед Вашим брокером, несете Вы. </w:t>
      </w:r>
    </w:p>
    <w:p w14:paraId="46D669F8"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5. Правовой риск</w:t>
      </w:r>
    </w:p>
    <w:p w14:paraId="2AAC2DCE"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Этот риск связан с возможными изменениями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2A660217"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266B066C"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6. Операционный риск</w:t>
      </w:r>
    </w:p>
    <w:p w14:paraId="72E21D7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Операционный риск заключается в возможности причинения Вам убытков в результате нарушения внутренних процедур Вашего брокера, ошибок и недобросовестных действий его сотрудников, сбоев в работе технических средств Вашего брокера, его партнеров, инфраструктурных организаций, в том числе организаторов торговли, клиринговых организаций, а также других организаций. Операционный риск может исключить или затруднить совершение операций, привести к совершению неправильных операций, и в результате повлечь возникновение убытков.</w:t>
      </w:r>
    </w:p>
    <w:p w14:paraId="679091CD"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Ознакомьтесь внимательно с договором для того, чтобы оценить, какие из рисков, в том числе риски каких технических сбоев, несет Ваш брокер, а какие из рисков несете Вы.</w:t>
      </w:r>
    </w:p>
    <w:p w14:paraId="30365B30"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p>
    <w:p w14:paraId="305501A0"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Учитывая вышеизложенное, мы рекомендуем Вам внимательно рассмотреть вопрос о том, являются ли риски, связанные с совершением операций на рынке ценных бумаг,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операций на рынке ценных бумаг,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482C3203"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62878397" w14:textId="77777777" w:rsidR="00624CEF" w:rsidRPr="00015175" w:rsidRDefault="00624CEF" w:rsidP="00624CEF">
      <w:pPr>
        <w:rPr>
          <w:rFonts w:ascii="Times New Roman" w:hAnsi="Times New Roman" w:cs="Times New Roman"/>
          <w:b/>
          <w:bCs/>
          <w:sz w:val="18"/>
          <w:szCs w:val="18"/>
        </w:rPr>
      </w:pPr>
    </w:p>
    <w:p w14:paraId="03D02448" w14:textId="77777777" w:rsidR="00624CEF" w:rsidRPr="00015175" w:rsidRDefault="00624CEF" w:rsidP="00624CEF">
      <w:pPr>
        <w:pStyle w:val="a3"/>
        <w:numPr>
          <w:ilvl w:val="0"/>
          <w:numId w:val="17"/>
        </w:numPr>
        <w:autoSpaceDE w:val="0"/>
        <w:autoSpaceDN w:val="0"/>
        <w:adjustRightInd w:val="0"/>
        <w:spacing w:after="120" w:line="240" w:lineRule="auto"/>
        <w:ind w:left="426"/>
        <w:jc w:val="center"/>
        <w:rPr>
          <w:rFonts w:ascii="Times New Roman" w:hAnsi="Times New Roman" w:cs="Times New Roman"/>
          <w:b/>
          <w:bCs/>
          <w:sz w:val="18"/>
          <w:szCs w:val="18"/>
        </w:rPr>
      </w:pPr>
      <w:r w:rsidRPr="00015175">
        <w:rPr>
          <w:rFonts w:ascii="Times New Roman" w:hAnsi="Times New Roman" w:cs="Times New Roman"/>
          <w:b/>
          <w:bCs/>
          <w:sz w:val="18"/>
          <w:szCs w:val="18"/>
        </w:rPr>
        <w:t>Декларация о рисках использования брокером в своих интересах денежных средств и (или) ценных бумаг клиента</w:t>
      </w:r>
    </w:p>
    <w:p w14:paraId="630C8B43"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Цель настоящей декларации – предоставить Вам информацию об основных рисках, с которыми связано использование брокером в своих интересах Ваших денежных средств и (или) ценных бумаг. </w:t>
      </w:r>
    </w:p>
    <w:p w14:paraId="73477083"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1.</w:t>
      </w:r>
      <w:r w:rsidRPr="00015175" w:rsidDel="0038239D">
        <w:rPr>
          <w:rFonts w:ascii="Times New Roman" w:hAnsi="Times New Roman" w:cs="Times New Roman"/>
          <w:sz w:val="18"/>
          <w:szCs w:val="18"/>
        </w:rPr>
        <w:t xml:space="preserve"> </w:t>
      </w:r>
      <w:r w:rsidRPr="00015175">
        <w:rPr>
          <w:rFonts w:ascii="Times New Roman" w:hAnsi="Times New Roman" w:cs="Times New Roman"/>
          <w:sz w:val="18"/>
          <w:szCs w:val="18"/>
        </w:rPr>
        <w:t>Риск использования денежных средств</w:t>
      </w:r>
    </w:p>
    <w:p w14:paraId="16B4565E"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 соответствии с законом брокер должен хранить денежные средства клиентов отдельно от своих собственных, однако может их объединять с денежными средствами других клиентов – на специальных брокерских счетах. Если договор о брокерском обслуживании разрешает брокеру использовать Ваши денежные средства, он вправе зачислять их на собственный банковский или клиринговый счет,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сумму Ваших средств, которые использовал. Такой риск не зависит от того осуществляли ли Вы сами сделки с использованием чужих средств или нет и в настоящее время не страхуется.</w:t>
      </w:r>
    </w:p>
    <w:p w14:paraId="1F620288"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2. Риск использования ценных бумаг </w:t>
      </w:r>
    </w:p>
    <w:p w14:paraId="0E07DF98"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В соответствии с законом ценные бумаги инвесторов учитываются на их собственных счетах депо. Если договор о брокерском обслуживании разрешает брокеру использовать Ваши ценные бумаги, он вправе зачислять их на депозитарный счет (субсчет), предназначенный для учета собственных ценных бумаг,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Вам ценные бумаги, которые использовал. Такой риск не зависит от того осуществляли ли Вы сами сделки с использованием чужих ценных бумаг или нет и в настоящее время не страхуется. </w:t>
      </w:r>
    </w:p>
    <w:p w14:paraId="5F1988EF"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p>
    <w:p w14:paraId="71A713EF"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Внимательно ознакомьтесь с договором для того, чтобы оценить, какие полномочия по использованию Вашего имущества будет иметь Ваш брокер, каковы правила его хранения, а также возврата.</w:t>
      </w:r>
    </w:p>
    <w:p w14:paraId="31B4B33B"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Если Вы предоставили брокеру право использования в его интересах Ваших денежных средств и </w:t>
      </w:r>
      <w:r w:rsidRPr="00015175">
        <w:rPr>
          <w:rFonts w:ascii="Times New Roman" w:hAnsi="Times New Roman" w:cs="Times New Roman"/>
          <w:sz w:val="18"/>
          <w:szCs w:val="18"/>
        </w:rPr>
        <w:lastRenderedPageBreak/>
        <w:t xml:space="preserve">(или) ценных бумаг, Вы вправе в любое время подать Вашему брокеру заявление об отказе от предоставления ему такого права. </w:t>
      </w:r>
    </w:p>
    <w:p w14:paraId="7C4CBE90"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Данная декларация не имеет своей целью заставить Вас отказаться от предоставления Вашему брокеру права использования в своих интересах Ваших денежных средств и (или) ценных бумаг, а призвана помочь Вам оценить их риски и ответственно подойти к решению этого вопроса.</w:t>
      </w:r>
    </w:p>
    <w:p w14:paraId="27379C3D"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 </w:t>
      </w:r>
    </w:p>
    <w:p w14:paraId="1B71A8CE"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p>
    <w:p w14:paraId="726595BD" w14:textId="77777777" w:rsidR="00624CEF" w:rsidRPr="00015175" w:rsidRDefault="00624CEF" w:rsidP="00624CEF">
      <w:pPr>
        <w:pStyle w:val="a3"/>
        <w:numPr>
          <w:ilvl w:val="0"/>
          <w:numId w:val="17"/>
        </w:numPr>
        <w:autoSpaceDE w:val="0"/>
        <w:autoSpaceDN w:val="0"/>
        <w:adjustRightInd w:val="0"/>
        <w:spacing w:after="120" w:line="240" w:lineRule="auto"/>
        <w:ind w:left="426"/>
        <w:jc w:val="center"/>
        <w:rPr>
          <w:rFonts w:ascii="Times New Roman" w:hAnsi="Times New Roman" w:cs="Times New Roman"/>
          <w:b/>
          <w:bCs/>
          <w:sz w:val="18"/>
          <w:szCs w:val="18"/>
        </w:rPr>
      </w:pPr>
      <w:r w:rsidRPr="00015175">
        <w:rPr>
          <w:rFonts w:ascii="Times New Roman" w:hAnsi="Times New Roman" w:cs="Times New Roman"/>
          <w:b/>
          <w:bCs/>
          <w:sz w:val="18"/>
          <w:szCs w:val="18"/>
        </w:rPr>
        <w:lastRenderedPageBreak/>
        <w:t>Декларация о рисках, связанных с совершением маржинальных и необеспеченных сделок</w:t>
      </w:r>
    </w:p>
    <w:p w14:paraId="3E2E68A0"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Цель настоящей декларации — предоставить Вам информацию об основных рисках, с которыми связаны маржинальные сделки (сделки, исполнение которых осуществляется с использованием заемных денежных средств и (или) ценных бумаг, предоставленных Вам брокером) и необеспеченные сделки (сделки, для исполнения обязательств по которым на момент их заключения Вашего имущества, переданного брокеру, недостаточно с учетом иных ранее заключенных сделок).</w:t>
      </w:r>
    </w:p>
    <w:p w14:paraId="15708A6F"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Данные сделки подходят не всем клиентам, поскольку сопряжены с дополнительными рисками.</w:t>
      </w:r>
    </w:p>
    <w:p w14:paraId="197B82AB"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p>
    <w:p w14:paraId="32509265"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1. Риски финансового «плеча»</w:t>
      </w:r>
    </w:p>
    <w:p w14:paraId="580CEFF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При совершении маржинальных и необеспеченных сделок возникает «эффект плеча», который увеличивает как возможный доход, так и возможные убытки.</w:t>
      </w:r>
    </w:p>
    <w:p w14:paraId="035F280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Нормативные акты ограничивают риски клиентов по маржинальным и необеспеченным сделкам, в том числе регулируя «плечо» — соотношение обязательств клиента по заключенным в его интересах маржинальным и необеспеченным сделкам и имущества клиента, предоставленного брокеру, однако даже в разрешенных пределах,  Вы должны учитывать, что риск потерь в случае неблагоприятного изменения цен тем больше, чем больше «плечо».</w:t>
      </w:r>
    </w:p>
    <w:p w14:paraId="748E9490"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Имущество (часть имущества), принадлежащее Вам, при  совершении маржинальных и необеспеченных сделок будет являться обеспечением по указанным сделкам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финансовые инструменты, в отношении которых совершены маржинальные и необеспеченные сделки, и на имущество, являющееся обеспечением, в результате Вы можете быть ограничены в возможности распоряжаться Вашим имуществом в большей степени, чем в момент совершения таких сделок.</w:t>
      </w:r>
    </w:p>
    <w:p w14:paraId="1CE64F3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2. Риск принудительного закрытия позиции </w:t>
      </w:r>
    </w:p>
    <w:p w14:paraId="4A7A21BC"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Клиринговые организации и брокеры должны управлять рисками и в некоторых случаях могут потребовать внести дополнительные денежные средства чтобы привести обеспечение в соответствие с требованиями нормативных актов, договора о брокерском обслуживании или правил клиринга, что должно быть сделано в короткий срок, который может быть недостаточен для Вас.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этот момент, в том числе невыгодным для Вас ценам и привести к возникновению у Вас убытков.</w:t>
      </w:r>
    </w:p>
    <w:p w14:paraId="4A6D15F1"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Принудительное закрытие позиции может быть вызвано:</w:t>
      </w:r>
    </w:p>
    <w:p w14:paraId="55EFA6ED"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изменением значений ставок риска, рассчитываемых клиринговой организацией и (или) используемых брокером, в связи с увеличением волатильности ценных бумаг;</w:t>
      </w:r>
    </w:p>
    <w:p w14:paraId="65E3ACE9"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требованиями нормативных актов или внесением брокером или клиринговой организацией в одностороннем порядке изменений в список ценных бумаг, которые могут быть обеспечением исполнения обязательств.</w:t>
      </w:r>
    </w:p>
    <w:p w14:paraId="6A6D462D"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14:paraId="7D2A1CE3"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p>
    <w:p w14:paraId="53A329EC"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Учитывая вышеизложенное, мы рекомендуем Вам внимательно рассмотреть вопрос о том, являются ли риски, возникающие при совершении маржинальных и необеспеченных сделок,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358C2D8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5DBAA7D8"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p>
    <w:p w14:paraId="5CC5FE95" w14:textId="77777777" w:rsidR="00624CEF" w:rsidRPr="00015175" w:rsidRDefault="00624CEF" w:rsidP="00624CEF">
      <w:pPr>
        <w:pStyle w:val="a3"/>
        <w:numPr>
          <w:ilvl w:val="0"/>
          <w:numId w:val="17"/>
        </w:numPr>
        <w:autoSpaceDE w:val="0"/>
        <w:autoSpaceDN w:val="0"/>
        <w:adjustRightInd w:val="0"/>
        <w:spacing w:after="120" w:line="240" w:lineRule="auto"/>
        <w:ind w:left="426"/>
        <w:jc w:val="center"/>
        <w:rPr>
          <w:rFonts w:ascii="Times New Roman" w:hAnsi="Times New Roman" w:cs="Times New Roman"/>
          <w:b/>
          <w:bCs/>
          <w:sz w:val="18"/>
          <w:szCs w:val="18"/>
        </w:rPr>
      </w:pPr>
      <w:r w:rsidRPr="00015175">
        <w:rPr>
          <w:rFonts w:ascii="Times New Roman" w:hAnsi="Times New Roman" w:cs="Times New Roman"/>
          <w:b/>
          <w:bCs/>
          <w:sz w:val="18"/>
          <w:szCs w:val="18"/>
        </w:rPr>
        <w:t>Декларация о рисках, связанных с заключением договоров, являющихся производными финансовыми инструментами</w:t>
      </w:r>
    </w:p>
    <w:p w14:paraId="32C4704C"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Цель настоящей декларации — предоставить Вам информацию об основных рисках, связанных с договорами, являющимися производными финансовыми инструментами.</w:t>
      </w:r>
    </w:p>
    <w:p w14:paraId="3514E91B"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Данные инструменты (фьючерсы, форварды, опционы, свопы и др.) подходят не всем клиентам, поскольку сопряжены с дополнительными рисками. Более того, некоторые виды стратегий с производными финансовыми инструментами (например, необеспеченная продажа опционных контрактов) сопряжены с большим уровнем риска, чем другие. </w:t>
      </w:r>
    </w:p>
    <w:p w14:paraId="7E3F6DF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Настоящая декларация относится также и к операциям, связанным с использованием производных финансовых инструментов в целях хеджирования, то есть снижения рисков других операций на фондовом рынке. </w:t>
      </w:r>
    </w:p>
    <w:p w14:paraId="6269E58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1. Риски финансового «плеча»</w:t>
      </w:r>
    </w:p>
    <w:p w14:paraId="13968B2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lastRenderedPageBreak/>
        <w:t>Для того, чтобы открыть позицию по производному финансовому инструменту Вам необходимо иметь только часть стоимости соответствующего контракта (гарантийное обеспечение), а не всю сумму целиком. При этом возникает «эффект плеча», который увеличивает как возможный доход, так и возможные убытки.</w:t>
      </w:r>
    </w:p>
    <w:p w14:paraId="1165830E"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Клиринговая организация</w:t>
      </w:r>
      <w:r w:rsidRPr="00015175">
        <w:rPr>
          <w:rFonts w:ascii="Times New Roman" w:hAnsi="Times New Roman" w:cs="Times New Roman"/>
          <w:sz w:val="18"/>
          <w:szCs w:val="18"/>
        </w:rPr>
        <w:lastRenderedPageBreak/>
        <w:t xml:space="preserve"> и брокер ограничивают риски инвесторов по производным финансовым инструментам, в том числе регулируя «плечо» — рассчитывая размер гарантийного обеспечения, однако даже в пределах этих ограничений Вы должны учитывать, что величина убытков в случае неблагоприятного изменения цен тем больше, чем больше «плечо».</w:t>
      </w:r>
    </w:p>
    <w:p w14:paraId="7E617DC8"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Имущество (часть имущества), принадлежащее Вам, в результате заключения договоров, являющихся производными финансовыми инструментами, будет являться обеспечением исполнения обязательств по договорам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базовые активы производных финансовых инструментов, в результате Вы можете быть ограничены в возможности распоряжаться Вашим имуществом в большей степени, чем в момент заключения договора, являющегося производным финансовым инструментом.</w:t>
      </w:r>
    </w:p>
    <w:p w14:paraId="7D236FB8"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2. Риск принудительного закрытия позиции </w:t>
      </w:r>
    </w:p>
    <w:p w14:paraId="5381CEAB"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Клиринговые организации и брокеры должны управлять рисками и в некоторых случаях могут потребовать внести дополнительные денежные средства чтобы повысить уровень обеспечения, что должно быть сделано в короткий срок, который может быть недостаточен для Вас.</w:t>
      </w:r>
    </w:p>
    <w:p w14:paraId="35E25475"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Это может быть сделано по существующим в этот момент, в том числе невыгодным для Вас ценам и привести к возникновению у Вас убытков.</w:t>
      </w:r>
    </w:p>
    <w:p w14:paraId="46CEDA48"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Принудительное закрытие позиции может быть вызвано: </w:t>
      </w:r>
    </w:p>
    <w:p w14:paraId="0898C477"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изменением значений ставок риска, рассчитываемых клиринговой организацией и (или) используемых брокером, в связи с увеличением волатильности финансовых инструментов;</w:t>
      </w:r>
    </w:p>
    <w:p w14:paraId="67B5C79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требованиями нормативных актов или внесением брокером или клиринговой организацией в одностороннем порядке изменений в список ценных бумаг, которые могут быть обеспечением исполнения обязательств.</w:t>
      </w:r>
    </w:p>
    <w:p w14:paraId="43B60AAC"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14:paraId="39C4522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3. Риск ликвидности </w:t>
      </w:r>
    </w:p>
    <w:p w14:paraId="3B8FC089"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Трудности с закрытием позиций и потери в цене могут привести к более высоким убыткам от операций с производными финансовыми инструментами по сравнению с убытками от обычных сделок.</w:t>
      </w:r>
    </w:p>
    <w:p w14:paraId="14DA2DF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p>
    <w:p w14:paraId="11227A0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Учитывая вышеизложенное, мы рекомендуем Вам внимательно рассмотреть вопрос о том, являются ли риски, возникающие при заключении договоров, являющихся производными финансовыми инструментами,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72AF5C51"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4C75751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p>
    <w:p w14:paraId="511A5304" w14:textId="77777777" w:rsidR="00624CEF" w:rsidRPr="00015175" w:rsidRDefault="00624CEF" w:rsidP="00624CEF">
      <w:pPr>
        <w:pStyle w:val="a3"/>
        <w:numPr>
          <w:ilvl w:val="0"/>
          <w:numId w:val="17"/>
        </w:numPr>
        <w:autoSpaceDE w:val="0"/>
        <w:autoSpaceDN w:val="0"/>
        <w:adjustRightInd w:val="0"/>
        <w:spacing w:after="120" w:line="240" w:lineRule="auto"/>
        <w:ind w:left="426"/>
        <w:jc w:val="center"/>
        <w:rPr>
          <w:rFonts w:ascii="Times New Roman" w:hAnsi="Times New Roman" w:cs="Times New Roman"/>
          <w:b/>
          <w:bCs/>
          <w:sz w:val="18"/>
          <w:szCs w:val="18"/>
        </w:rPr>
      </w:pPr>
      <w:r w:rsidRPr="00015175">
        <w:rPr>
          <w:rFonts w:ascii="Times New Roman" w:hAnsi="Times New Roman" w:cs="Times New Roman"/>
          <w:b/>
          <w:bCs/>
          <w:sz w:val="18"/>
          <w:szCs w:val="18"/>
        </w:rPr>
        <w:t>Декларация о рисках, связанных с приобретением иностранных ценных бумаг</w:t>
      </w:r>
    </w:p>
    <w:p w14:paraId="79EFA1DB"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Цель настоящей декларации – предоставить Вам информацию об основных рисках, связанных с приобретением иностранных ценных бумаг. 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 Операциям с иностранными ценными бумагами присущи общие риски, связанные с операциями на рынке ценных бумаг со следующими особенностями.</w:t>
      </w:r>
    </w:p>
    <w:p w14:paraId="792153D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1. Системные риски</w:t>
      </w:r>
    </w:p>
    <w:p w14:paraId="0E9AD7CC"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Иностранные ценные бумаги подвержены системным рискам стран, где они выпущены или обращаются. 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 </w:t>
      </w:r>
    </w:p>
    <w:p w14:paraId="65555B7D"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2. Валютные риски </w:t>
      </w:r>
    </w:p>
    <w:p w14:paraId="16A3B4F6"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Поскольку иностранные ценные бумаги номинированы в иностранной валюте, сделки с ними рассчитываются и доходы по ним выплачиваются в иностранной валюте, операции с ними подвержены валютному риску. При неблагоприятном изменении курса иностранной валюты по отношению к российскому рублю Вы можете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p>
    <w:p w14:paraId="21620016"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3. Правовые риски</w:t>
      </w:r>
    </w:p>
    <w:p w14:paraId="47AA00BE"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lastRenderedPageBreak/>
        <w:t xml:space="preserve">1). Риск ограничения операций с иностранными ценными бумагами </w:t>
      </w:r>
    </w:p>
    <w:p w14:paraId="5FEB4E11"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 настоящее время законодательство разрешает российским инвесторам, в том числе не являющимся квалифицированными, приобретение иностранных ценных бумаг как за рубежом, так и в России, а также позволяет вести учет прав на такие ценные бумаги российским депозитариям.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611EC23B"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2). Санкционные риски</w:t>
      </w:r>
    </w:p>
    <w:p w14:paraId="740E4C63"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российских инвесторов. Велика вероятность дальнейшего расширения списка подсанкционных лиц и перечн</w:t>
      </w:r>
      <w:r w:rsidRPr="00015175">
        <w:rPr>
          <w:rFonts w:ascii="Times New Roman" w:hAnsi="Times New Roman" w:cs="Times New Roman"/>
          <w:sz w:val="18"/>
          <w:szCs w:val="18"/>
        </w:rPr>
        <w:lastRenderedPageBreak/>
        <w:t>я санкционных мероприятий, в результате которых Вы не только не сможете заключать сделки с иностранными ценными бумагами (в том числе, иностранными ценными бумагами, эмитентами которых являются резиденты дружественных государств), но и распоряжаться принадлежащим Вам имуществом, в том числе, осуществлять права по ценным бумагам.</w:t>
      </w:r>
    </w:p>
    <w:p w14:paraId="639574F0"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3). Различия в регулировании ценных бумаг </w:t>
      </w:r>
    </w:p>
    <w:p w14:paraId="77B40881"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При приобретении иностранных ценных бумаг необходимо отдавать себе отчет в том, что они не всегда являются аналогами российских ценных бумаг, а предоставляемые по ним права и правила их осуществления могут существенно отличаться от прав по российским ценным бумагам.</w:t>
      </w:r>
    </w:p>
    <w:p w14:paraId="50B73D97"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Существенным отличием являются также правила учета прав на ценные бумаги и возможности их защиты в случаях банкротства, учитывающего их финансового института.</w:t>
      </w:r>
    </w:p>
    <w:p w14:paraId="20C2A618"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4). Различия в раскрытии информации </w:t>
      </w:r>
    </w:p>
    <w:p w14:paraId="666AB13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Оцените свою готовность анализировать информацию, раскрываемую на иностранном языке. Правила раскрытия информации в отношении иностранных ценных бумаг – объем и периодичность могут отличаться от правил, действующих в России. Оцените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261CBA23"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должен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371D8491"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5). Защита прав в иностранным суде и правоохранительных органах  </w:t>
      </w:r>
    </w:p>
    <w:p w14:paraId="02737CD4"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 которые могут существенно отличаться от действующих в России.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238895CD"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p>
    <w:p w14:paraId="49E7A993"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Учитывая вышеизложенное, мы рекомендуем Вам внимательно рассмотреть вопрос о том, являются ли риски, возникающие при приобретении иностранных ценных бумаг,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57613D8C" w14:textId="77777777" w:rsidR="00624CEF" w:rsidRPr="00015175" w:rsidRDefault="00624CEF" w:rsidP="00624CEF">
      <w:pPr>
        <w:pStyle w:val="a3"/>
        <w:numPr>
          <w:ilvl w:val="0"/>
          <w:numId w:val="17"/>
        </w:numPr>
        <w:autoSpaceDE w:val="0"/>
        <w:autoSpaceDN w:val="0"/>
        <w:adjustRightInd w:val="0"/>
        <w:spacing w:after="120" w:line="240" w:lineRule="auto"/>
        <w:ind w:left="426"/>
        <w:jc w:val="center"/>
        <w:rPr>
          <w:rFonts w:ascii="Times New Roman" w:hAnsi="Times New Roman" w:cs="Times New Roman"/>
          <w:b/>
          <w:bCs/>
          <w:sz w:val="18"/>
          <w:szCs w:val="18"/>
        </w:rPr>
      </w:pPr>
      <w:r w:rsidRPr="00015175">
        <w:rPr>
          <w:rFonts w:ascii="Times New Roman" w:hAnsi="Times New Roman" w:cs="Times New Roman"/>
          <w:b/>
          <w:bCs/>
          <w:sz w:val="18"/>
          <w:szCs w:val="18"/>
        </w:rPr>
        <w:t>Декларация о рисках приобретения акций в процессе их первичного публичного предложения</w:t>
      </w:r>
    </w:p>
    <w:p w14:paraId="4883193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Цель настоящей декларации — предоставить вам информацию об основных рисках приобретения акций в процессе их первичного публичного предложения (размещения) (далее - IPO). Данные сделки подходят не всем клиентам, поскольку сопряжены с дополнительными рисками.</w:t>
      </w:r>
    </w:p>
    <w:p w14:paraId="686A7E3C"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Первичное публичное предложение (размещение) акций (в международной терминологии — «initial public offering»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p>
    <w:p w14:paraId="5879B34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Внимательно изучите эмиссионную документацию, в том числе 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p>
    <w:p w14:paraId="4FE00283"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Приобретению акций в процессе IPO присущи общие риски, связанные с операциями на рынке ценных бумаг, со следующими особенностями.</w:t>
      </w:r>
    </w:p>
    <w:p w14:paraId="5FCD3341"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1. Рыночные риски </w:t>
      </w:r>
    </w:p>
    <w:p w14:paraId="5E34326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Стоимость акций, приобретенных в процессе IPO,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IPO. </w:t>
      </w:r>
    </w:p>
    <w:p w14:paraId="137DB76A"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lastRenderedPageBreak/>
        <w:t>Во многих случаях при проведении IPO крупные акционеры компании, выходящей на IPO, принимают на себя обязательство не продавать принадлежащие им акции в течение определенного периода времени после проведения IPO (обычно это называется «lock up –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IPO, могут снизить их рыночную цену.</w:t>
      </w:r>
    </w:p>
    <w:p w14:paraId="58F220DE"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2. Риски «аллокации» </w:t>
      </w:r>
    </w:p>
    <w:p w14:paraId="5BE3C9CD"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Принимая поручение на покупку акций в процессе IPO, брокер не гарантирует его исполнение. Информация о поступивших заявках передается через организатора IPO продавцу акций и именно он решает, в каком количестве акции будут распределены между инвесторами (обычно это называется «аллокацией»). Обратите внимание, что Ваше поручение может быть исполнено частично и Вы получите меньшее количество акций, чем изначально собирались приобрести, либо не исполнено вовсе. </w:t>
      </w:r>
    </w:p>
    <w:p w14:paraId="4CC19F8E"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 случае, если, предполагая невысокую аллокацию,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p>
    <w:p w14:paraId="3B12DB82"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В ряде случаев продавцы акций или организаторы IPO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p>
    <w:p w14:paraId="5D7BEAA8" w14:textId="77777777" w:rsidR="00624CEF" w:rsidRPr="00015175" w:rsidRDefault="00624CEF" w:rsidP="00624CEF">
      <w:pPr>
        <w:autoSpaceDE w:val="0"/>
        <w:autoSpaceDN w:val="0"/>
        <w:adjustRightInd w:val="0"/>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Учитывая вышеизложенное, мы рекомендуем Вам внимательно рассмотреть вопрос о том, являются ли риски, возникающие при приобретении акций в процессе IPO, приемлемыми для Вас с учетом ваших инвестиционных целей и финансовых возможностей. Данная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Вашей инвестиционной стратегии.</w:t>
      </w:r>
    </w:p>
    <w:p w14:paraId="590C8C8D" w14:textId="4F1FAED2" w:rsidR="00624CEF" w:rsidRDefault="00624CEF" w:rsidP="0040768D">
      <w:pPr>
        <w:autoSpaceDE w:val="0"/>
        <w:autoSpaceDN w:val="0"/>
        <w:adjustRightInd w:val="0"/>
        <w:spacing w:after="120" w:line="240" w:lineRule="auto"/>
        <w:jc w:val="both"/>
        <w:rPr>
          <w:rFonts w:ascii="Times New Roman" w:hAnsi="Times New Roman" w:cs="Times New Roman"/>
          <w:sz w:val="18"/>
          <w:szCs w:val="18"/>
        </w:rPr>
      </w:pPr>
      <w:r w:rsidRPr="00015175">
        <w:rPr>
          <w:rFonts w:ascii="Times New Roman" w:hAnsi="Times New Roman" w:cs="Times New Roman"/>
          <w:sz w:val="18"/>
          <w:szCs w:val="18"/>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265D75C7" w14:textId="77777777" w:rsidR="00624CEF" w:rsidRPr="00E85EC1" w:rsidRDefault="00624CEF" w:rsidP="0040768D">
      <w:pPr>
        <w:autoSpaceDE w:val="0"/>
        <w:autoSpaceDN w:val="0"/>
        <w:adjustRightInd w:val="0"/>
        <w:spacing w:after="120" w:line="240" w:lineRule="auto"/>
        <w:jc w:val="both"/>
        <w:rPr>
          <w:rFonts w:ascii="Times New Roman" w:hAnsi="Times New Roman" w:cs="Times New Roman"/>
          <w:sz w:val="18"/>
          <w:szCs w:val="18"/>
        </w:rPr>
      </w:pPr>
    </w:p>
    <w:p w14:paraId="4189E91F" w14:textId="3D22C346" w:rsidR="0001149D" w:rsidRPr="00E85EC1" w:rsidRDefault="0001149D" w:rsidP="00624CEF">
      <w:pPr>
        <w:pStyle w:val="a3"/>
        <w:numPr>
          <w:ilvl w:val="0"/>
          <w:numId w:val="17"/>
        </w:numPr>
        <w:autoSpaceDE w:val="0"/>
        <w:autoSpaceDN w:val="0"/>
        <w:adjustRightInd w:val="0"/>
        <w:spacing w:after="120" w:line="240" w:lineRule="auto"/>
        <w:jc w:val="both"/>
        <w:rPr>
          <w:rFonts w:ascii="Times New Roman" w:hAnsi="Times New Roman" w:cs="Times New Roman"/>
          <w:b/>
          <w:bCs/>
          <w:sz w:val="18"/>
          <w:szCs w:val="18"/>
        </w:rPr>
      </w:pPr>
      <w:r w:rsidRPr="00E85EC1">
        <w:rPr>
          <w:rFonts w:ascii="Times New Roman" w:hAnsi="Times New Roman" w:cs="Times New Roman"/>
          <w:b/>
          <w:bCs/>
          <w:sz w:val="18"/>
          <w:szCs w:val="18"/>
        </w:rPr>
        <w:t>Декларация о рисках, связанных с приобретением иностранных облигаций</w:t>
      </w:r>
    </w:p>
    <w:p w14:paraId="62C12659" w14:textId="7271B965"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Настоящая Декларация раскрывает отдельные специальные риски, связанные с инвестициями в иностранные облигации. Общие риски, связанные с операциями с иностранными ценными бумагами, изложены в Декларации о рисках, связанных с приобретением иностранных ценных бумаг.</w:t>
      </w:r>
    </w:p>
    <w:p w14:paraId="26E9073D" w14:textId="77777777" w:rsidR="0001149D" w:rsidRPr="00E85EC1" w:rsidRDefault="0001149D" w:rsidP="0001149D">
      <w:pPr>
        <w:pStyle w:val="a3"/>
        <w:numPr>
          <w:ilvl w:val="0"/>
          <w:numId w:val="11"/>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Риски, связанные с участием в корпоративных действиях</w:t>
      </w:r>
    </w:p>
    <w:p w14:paraId="54C78002"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При принятии решения об инвестировании денежных средств в иностранные облигации необходимо учитывать, что российские депозитарии, в которых может осуществляться учет прав </w:t>
      </w:r>
      <w:r w:rsidR="00BE1AC9" w:rsidRPr="00E85EC1">
        <w:rPr>
          <w:rFonts w:ascii="Times New Roman" w:hAnsi="Times New Roman" w:cs="Times New Roman"/>
          <w:sz w:val="18"/>
          <w:szCs w:val="18"/>
        </w:rPr>
        <w:t xml:space="preserve">на </w:t>
      </w:r>
      <w:r w:rsidRPr="00E85EC1">
        <w:rPr>
          <w:rFonts w:ascii="Times New Roman" w:hAnsi="Times New Roman" w:cs="Times New Roman"/>
          <w:sz w:val="18"/>
          <w:szCs w:val="18"/>
        </w:rPr>
        <w:t>иностранные облигации</w:t>
      </w:r>
      <w:r w:rsidR="00BE1AC9" w:rsidRPr="00E85EC1">
        <w:rPr>
          <w:rFonts w:ascii="Times New Roman" w:hAnsi="Times New Roman" w:cs="Times New Roman"/>
          <w:sz w:val="18"/>
          <w:szCs w:val="18"/>
        </w:rPr>
        <w:t>, н</w:t>
      </w:r>
      <w:r w:rsidRPr="00E85EC1">
        <w:rPr>
          <w:rFonts w:ascii="Times New Roman" w:hAnsi="Times New Roman" w:cs="Times New Roman"/>
          <w:sz w:val="18"/>
          <w:szCs w:val="18"/>
        </w:rPr>
        <w:t>е могут гарантировать потенциальным инвесторам возможность участия во всех корпоративных действиях иностранных эмитентов облигаций и собраниях владельцев облигаций, поскольку реализация указанных прав зависит от особенностей правового регулирования страны регистрации эмитента и/или страны регистрации иностранной биржи, на которой обращаются иностранные облигации, а также особенностей порядка учета прав в международных центральных депозитариях.</w:t>
      </w:r>
    </w:p>
    <w:p w14:paraId="0486A632"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u w:val="single"/>
        </w:rPr>
        <w:t>Участие в добровольных корпоративных действиях</w:t>
      </w:r>
      <w:r w:rsidRPr="00E85EC1">
        <w:rPr>
          <w:rFonts w:ascii="Times New Roman" w:hAnsi="Times New Roman" w:cs="Times New Roman"/>
          <w:sz w:val="18"/>
          <w:szCs w:val="18"/>
        </w:rPr>
        <w:t xml:space="preserve"> возможно только в случае, если сумма номиналов принадлежащих инвестору иностранных облигаций равна минимальной деноминации или превышает ее. Вместе с тем, эмитентом могут быть установлены условия участия в добровольных корпоративных действиях, не предполагающих наличия каких-либо ограничений по деноминации.</w:t>
      </w:r>
    </w:p>
    <w:p w14:paraId="3CA27AFF"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u w:val="single"/>
        </w:rPr>
      </w:pPr>
      <w:r w:rsidRPr="00E85EC1">
        <w:rPr>
          <w:rFonts w:ascii="Times New Roman" w:hAnsi="Times New Roman" w:cs="Times New Roman"/>
          <w:sz w:val="18"/>
          <w:szCs w:val="18"/>
        </w:rPr>
        <w:t xml:space="preserve">Аналогичные риски могут возникнуть при участии в </w:t>
      </w:r>
      <w:r w:rsidRPr="00E85EC1">
        <w:rPr>
          <w:rFonts w:ascii="Times New Roman" w:hAnsi="Times New Roman" w:cs="Times New Roman"/>
          <w:sz w:val="18"/>
          <w:szCs w:val="18"/>
          <w:u w:val="single"/>
        </w:rPr>
        <w:t>обязательных корпоративных действиях.</w:t>
      </w:r>
    </w:p>
    <w:p w14:paraId="40555045"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Потенциальные инвесторы должны внимательно ознакомиться с ограничениями, установленными в проспекте иностранных облигаций относительно участия в добровольных/обязательных корпоративных действиях и принять решение об инвестировании денежных средств в конкретные иностранные облигации с учетом данных ограничений и собственных целей инвестирования.</w:t>
      </w:r>
    </w:p>
    <w:p w14:paraId="23F5336C" w14:textId="77777777" w:rsidR="0001149D" w:rsidRPr="00E85EC1" w:rsidRDefault="0001149D" w:rsidP="0001149D">
      <w:pPr>
        <w:pStyle w:val="a3"/>
        <w:numPr>
          <w:ilvl w:val="0"/>
          <w:numId w:val="11"/>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Риски, связанные с установлением в эмиссионных документах минимальной деноминации</w:t>
      </w:r>
    </w:p>
    <w:p w14:paraId="10C26D3C"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Проспект иностранных облигаций может содержать нормы о минимальной деноминации, устанавливающие ограничение на обращение ценных бумаг в странах ЕС (минимальный торговый лот, доступный к продаже). Проспектом иностранных </w:t>
      </w:r>
      <w:r w:rsidRPr="00E85EC1">
        <w:rPr>
          <w:rFonts w:ascii="Times New Roman" w:hAnsi="Times New Roman" w:cs="Times New Roman"/>
          <w:sz w:val="18"/>
          <w:szCs w:val="18"/>
        </w:rPr>
        <w:lastRenderedPageBreak/>
        <w:t>облигаций также могут быть установлены ограничения по торговле в размере деноминации (минимальный торговый лот, доступный к продаже) в других странах, в которых ценные бумаги эмитента имеют листинг.</w:t>
      </w:r>
    </w:p>
    <w:p w14:paraId="0DE556B7"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Наличие в проспекте иностранных облигаций минимальной деноминации означает, что международные центральные депозитарии смогут учесть торгово-расчетные операции только с объемом ценных бумаг, превышающим или равным деноминации (например, </w:t>
      </w:r>
      <w:r w:rsidRPr="00E85EC1">
        <w:rPr>
          <w:rFonts w:ascii="Times New Roman" w:hAnsi="Times New Roman" w:cs="Times New Roman"/>
          <w:sz w:val="18"/>
          <w:szCs w:val="18"/>
          <w:lang w:val="en-US"/>
        </w:rPr>
        <w:t>USD</w:t>
      </w:r>
      <w:r w:rsidRPr="00E85EC1">
        <w:rPr>
          <w:rFonts w:ascii="Times New Roman" w:hAnsi="Times New Roman" w:cs="Times New Roman"/>
          <w:sz w:val="18"/>
          <w:szCs w:val="18"/>
        </w:rPr>
        <w:t xml:space="preserve"> 100 000) и кратным шагу деноминации (например, </w:t>
      </w:r>
      <w:r w:rsidRPr="00E85EC1">
        <w:rPr>
          <w:rFonts w:ascii="Times New Roman" w:hAnsi="Times New Roman" w:cs="Times New Roman"/>
          <w:sz w:val="18"/>
          <w:szCs w:val="18"/>
          <w:lang w:val="en-US"/>
        </w:rPr>
        <w:t>USD</w:t>
      </w:r>
      <w:r w:rsidRPr="00E85EC1">
        <w:rPr>
          <w:rFonts w:ascii="Times New Roman" w:hAnsi="Times New Roman" w:cs="Times New Roman"/>
          <w:sz w:val="18"/>
          <w:szCs w:val="18"/>
        </w:rPr>
        <w:t xml:space="preserve"> 1000). Соответственно, наличие в проспекте иностранных облигаций таких ограничений может повлечь риски, связанные с отсутствием у инвестора возможности перевести иностранные ценные бумаги в </w:t>
      </w:r>
      <w:r w:rsidRPr="00E85EC1">
        <w:rPr>
          <w:rFonts w:ascii="Times New Roman" w:hAnsi="Times New Roman" w:cs="Times New Roman"/>
          <w:sz w:val="18"/>
          <w:szCs w:val="18"/>
          <w:lang w:val="en-US"/>
        </w:rPr>
        <w:t>Clearstream</w:t>
      </w:r>
      <w:r w:rsidRPr="00E85EC1">
        <w:rPr>
          <w:rFonts w:ascii="Times New Roman" w:hAnsi="Times New Roman" w:cs="Times New Roman"/>
          <w:sz w:val="18"/>
          <w:szCs w:val="18"/>
        </w:rPr>
        <w:t xml:space="preserve"> и/или </w:t>
      </w:r>
      <w:r w:rsidRPr="00E85EC1">
        <w:rPr>
          <w:rFonts w:ascii="Times New Roman" w:hAnsi="Times New Roman" w:cs="Times New Roman"/>
          <w:sz w:val="18"/>
          <w:szCs w:val="18"/>
          <w:lang w:val="en-US"/>
        </w:rPr>
        <w:t>Euroclear</w:t>
      </w:r>
      <w:r w:rsidRPr="00E85EC1">
        <w:rPr>
          <w:rFonts w:ascii="Times New Roman" w:hAnsi="Times New Roman" w:cs="Times New Roman"/>
          <w:sz w:val="18"/>
          <w:szCs w:val="18"/>
        </w:rPr>
        <w:t>.</w:t>
      </w:r>
    </w:p>
    <w:p w14:paraId="323C5BA2" w14:textId="648D6192"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Для инвесторов, которые приобрели в Российской Федерации пакет иностранных облигаций общим объемом, который меньше установленного размера минимальной деноминации, и которые намерены вывести облигации для расчетов в </w:t>
      </w:r>
      <w:r w:rsidRPr="00E85EC1">
        <w:rPr>
          <w:rFonts w:ascii="Times New Roman" w:hAnsi="Times New Roman" w:cs="Times New Roman"/>
          <w:sz w:val="18"/>
          <w:szCs w:val="18"/>
          <w:lang w:val="en-US"/>
        </w:rPr>
        <w:t>Cle</w:t>
      </w:r>
      <w:r w:rsidR="00624CEF">
        <w:rPr>
          <w:rFonts w:ascii="Times New Roman" w:hAnsi="Times New Roman" w:cs="Times New Roman"/>
          <w:sz w:val="18"/>
          <w:szCs w:val="18"/>
          <w:lang w:val="en-US"/>
        </w:rPr>
        <w:t>a</w:t>
      </w:r>
      <w:r w:rsidRPr="00E85EC1">
        <w:rPr>
          <w:rFonts w:ascii="Times New Roman" w:hAnsi="Times New Roman" w:cs="Times New Roman"/>
          <w:sz w:val="18"/>
          <w:szCs w:val="18"/>
          <w:lang w:val="en-US"/>
        </w:rPr>
        <w:t>rstream</w:t>
      </w:r>
      <w:r w:rsidRPr="00E85EC1">
        <w:rPr>
          <w:rFonts w:ascii="Times New Roman" w:hAnsi="Times New Roman" w:cs="Times New Roman"/>
          <w:sz w:val="18"/>
          <w:szCs w:val="18"/>
        </w:rPr>
        <w:t xml:space="preserve"> и/или </w:t>
      </w:r>
      <w:r w:rsidRPr="00E85EC1">
        <w:rPr>
          <w:rFonts w:ascii="Times New Roman" w:hAnsi="Times New Roman" w:cs="Times New Roman"/>
          <w:sz w:val="18"/>
          <w:szCs w:val="18"/>
          <w:lang w:val="en-US"/>
        </w:rPr>
        <w:t>Euroclear</w:t>
      </w:r>
      <w:r w:rsidRPr="00E85EC1">
        <w:rPr>
          <w:rFonts w:ascii="Times New Roman" w:hAnsi="Times New Roman" w:cs="Times New Roman"/>
          <w:sz w:val="18"/>
          <w:szCs w:val="18"/>
        </w:rPr>
        <w:t xml:space="preserve">, наличие в проспекте иностранных облигаций требований к минимальной деноминации, может повлечь риски, связанные с отказом </w:t>
      </w:r>
      <w:r w:rsidRPr="00E85EC1">
        <w:rPr>
          <w:rFonts w:ascii="Times New Roman" w:hAnsi="Times New Roman" w:cs="Times New Roman"/>
          <w:sz w:val="18"/>
          <w:szCs w:val="18"/>
          <w:lang w:val="en-US"/>
        </w:rPr>
        <w:t>Cle</w:t>
      </w:r>
      <w:r w:rsidR="00624CEF">
        <w:rPr>
          <w:rFonts w:ascii="Times New Roman" w:hAnsi="Times New Roman" w:cs="Times New Roman"/>
          <w:sz w:val="18"/>
          <w:szCs w:val="18"/>
          <w:lang w:val="en-US"/>
        </w:rPr>
        <w:t>a</w:t>
      </w:r>
      <w:r w:rsidRPr="00E85EC1">
        <w:rPr>
          <w:rFonts w:ascii="Times New Roman" w:hAnsi="Times New Roman" w:cs="Times New Roman"/>
          <w:sz w:val="18"/>
          <w:szCs w:val="18"/>
          <w:lang w:val="en-US"/>
        </w:rPr>
        <w:t>rstream</w:t>
      </w:r>
      <w:r w:rsidRPr="00E85EC1">
        <w:rPr>
          <w:rFonts w:ascii="Times New Roman" w:hAnsi="Times New Roman" w:cs="Times New Roman"/>
          <w:sz w:val="18"/>
          <w:szCs w:val="18"/>
        </w:rPr>
        <w:t xml:space="preserve"> и/или </w:t>
      </w:r>
      <w:r w:rsidRPr="00E85EC1">
        <w:rPr>
          <w:rFonts w:ascii="Times New Roman" w:hAnsi="Times New Roman" w:cs="Times New Roman"/>
          <w:sz w:val="18"/>
          <w:szCs w:val="18"/>
          <w:lang w:val="en-US"/>
        </w:rPr>
        <w:t>Euroclear</w:t>
      </w:r>
      <w:r w:rsidRPr="00E85EC1">
        <w:rPr>
          <w:rFonts w:ascii="Times New Roman" w:hAnsi="Times New Roman" w:cs="Times New Roman"/>
          <w:sz w:val="18"/>
          <w:szCs w:val="18"/>
        </w:rPr>
        <w:t xml:space="preserve"> осуществить операцию, и необходимость приобрести дополнительно к своему пакету облигации для выполнения требования к минимальной деноминации (данные риски отсутствуют в случае расчетов в российском депозитарии).</w:t>
      </w:r>
    </w:p>
    <w:p w14:paraId="509435AF" w14:textId="77777777" w:rsidR="0001149D" w:rsidRPr="00E85EC1" w:rsidRDefault="0001149D" w:rsidP="0001149D">
      <w:pPr>
        <w:pStyle w:val="a3"/>
        <w:numPr>
          <w:ilvl w:val="0"/>
          <w:numId w:val="11"/>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Правовые риски</w:t>
      </w:r>
    </w:p>
    <w:p w14:paraId="60DC60A0"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При приобретении иностранных облигаций необходимо иметь в виду, что они не всегда являются аналогами российских облигаций. В любом случае, предоставляемые по ним права и правила их осуществления могут существенно отличаться от прав по российским облигациям, в частности, иностранная облигация может не предусматривать право ее владельца на получение от эмитента облигации в предусмотренный в ней срок ее полной номинальной стоимости или иного имущественного эквивалента при наступлении событий или условий, предусмотренных эмиссионными документами.</w:t>
      </w:r>
    </w:p>
    <w:p w14:paraId="0173C31B" w14:textId="77777777" w:rsidR="0001149D" w:rsidRPr="00E85EC1" w:rsidRDefault="0001149D" w:rsidP="0001149D">
      <w:pPr>
        <w:pStyle w:val="a3"/>
        <w:numPr>
          <w:ilvl w:val="0"/>
          <w:numId w:val="11"/>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Геополитические риски</w:t>
      </w:r>
    </w:p>
    <w:p w14:paraId="51108247"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При принятии инвестиционных решений потенциальные инвестор должен внимательно ознакомиться с геополитическими рисками, в т.ч. с наличием санкций в отношении эмитента (лица, выдавшего иностранные облигации), заемщика, кредитной организации, в которой открыт счет, депозитария, </w:t>
      </w:r>
      <w:r w:rsidR="00EF2511" w:rsidRPr="00E85EC1">
        <w:rPr>
          <w:rFonts w:ascii="Times New Roman" w:hAnsi="Times New Roman" w:cs="Times New Roman"/>
          <w:sz w:val="18"/>
          <w:szCs w:val="18"/>
        </w:rPr>
        <w:t>в</w:t>
      </w:r>
      <w:r w:rsidRPr="00E85EC1">
        <w:rPr>
          <w:rFonts w:ascii="Times New Roman" w:hAnsi="Times New Roman" w:cs="Times New Roman"/>
          <w:sz w:val="18"/>
          <w:szCs w:val="18"/>
        </w:rPr>
        <w:t xml:space="preserve"> котором будут учитываться права на иностранные облигации. В случае наличия каких-либо законодательных и/или регулятивных ограничений и/или санкций в отношении указанных выше организаций, а также самого инвестора, инвестор несет риски, связанные с неполучением выплаты номинальной стоимости и купонного дохода по иностранным облигациям в валюте номинальной стоимости. В случае отсутствия у лица, получающего выплату по иностранным облигациям, счета, позволяющего зачислить денежные средства в иностранной валюте, инвестор несет риск получения сумм по иностранным облигациям в рублях Российской Федерации по курсу, установленному кредитной организацией в соответствии с внутренними правилами такой кредитной организации.</w:t>
      </w:r>
    </w:p>
    <w:p w14:paraId="0162C2BA"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Приобретатель иностранных облигаций самостоятельно оценивает и несет риск того, что законодательство Российской Федерации может содержать запрет на инвестирование денежных средств в определенные иностранные облигации.</w:t>
      </w:r>
    </w:p>
    <w:p w14:paraId="44D50BD9"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Приобретатель иностранных облигаций самостоятельно оценивает и несет риск того, что личный закон депозитария, в котором ему открыт счет депо, предназначенный для учета прав на иностранные облигации или личный закон депозитария/международного центрального депозитария, по счету депо которого должна пройти транзакция иностранных облигаций, запрещает данному депозитарию содействовать финансированию в иностранные облигации эмитента.</w:t>
      </w:r>
    </w:p>
    <w:p w14:paraId="3C34591A"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Приобретатель иностранных облигаций самостоятельно оценивает и несет риск того, что личный закон кредитной организации, в которой приобретатель открывает валютный банковский счет в иностранной валюте или личный закон кредитной организации, по корреспондентскому счету которой должны пройти выплаты доходов по иностранным облигациям в денежной форме и иные причитающиеся владельцам таких ценных бумаг денежные выплаты, запрещает такой кредитной организации участвовать в переводе средств, предназначенных для указанных выплат по иностранным облигациям.</w:t>
      </w:r>
    </w:p>
    <w:p w14:paraId="3F4B1482"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Перечень рисков, приведенный в настоящей Декларации, не является исчерпывающим.</w:t>
      </w:r>
    </w:p>
    <w:p w14:paraId="3E5EA5CE" w14:textId="77777777" w:rsidR="0001149D" w:rsidRPr="00E85EC1" w:rsidRDefault="0001149D" w:rsidP="0001149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500B9CDD" w14:textId="77777777" w:rsidR="00DC2F7D" w:rsidRPr="00E85EC1" w:rsidRDefault="00CD72D7" w:rsidP="00624CEF">
      <w:pPr>
        <w:pStyle w:val="a3"/>
        <w:numPr>
          <w:ilvl w:val="0"/>
          <w:numId w:val="17"/>
        </w:numPr>
        <w:autoSpaceDE w:val="0"/>
        <w:autoSpaceDN w:val="0"/>
        <w:adjustRightInd w:val="0"/>
        <w:spacing w:after="120" w:line="240" w:lineRule="auto"/>
        <w:jc w:val="both"/>
        <w:rPr>
          <w:rFonts w:ascii="Times New Roman" w:hAnsi="Times New Roman" w:cs="Times New Roman"/>
          <w:b/>
          <w:bCs/>
          <w:sz w:val="18"/>
          <w:szCs w:val="18"/>
        </w:rPr>
      </w:pPr>
      <w:r w:rsidRPr="00E85EC1">
        <w:rPr>
          <w:rFonts w:ascii="Times New Roman" w:hAnsi="Times New Roman" w:cs="Times New Roman"/>
          <w:b/>
          <w:bCs/>
          <w:sz w:val="18"/>
          <w:szCs w:val="18"/>
        </w:rPr>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688D99A2"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Цель настоящей Декларации - предоставить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а</w:t>
      </w:r>
      <w:r w:rsidR="00B90565" w:rsidRPr="00E85EC1">
        <w:rPr>
          <w:rFonts w:ascii="Times New Roman" w:hAnsi="Times New Roman" w:cs="Times New Roman"/>
          <w:sz w:val="18"/>
          <w:szCs w:val="18"/>
        </w:rPr>
        <w:t xml:space="preserve">м общую информацию об основных </w:t>
      </w:r>
      <w:r w:rsidRPr="00E85EC1">
        <w:rPr>
          <w:rFonts w:ascii="Times New Roman" w:hAnsi="Times New Roman" w:cs="Times New Roman"/>
          <w:sz w:val="18"/>
          <w:szCs w:val="18"/>
        </w:rPr>
        <w:t>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14:paraId="1B4BC368" w14:textId="77777777" w:rsidR="0040768D" w:rsidRPr="00E85EC1" w:rsidRDefault="0040768D" w:rsidP="0040768D">
      <w:pPr>
        <w:pStyle w:val="a3"/>
        <w:numPr>
          <w:ilvl w:val="0"/>
          <w:numId w:val="6"/>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Риски, связанные производными финансовыми инструментами</w:t>
      </w:r>
    </w:p>
    <w:p w14:paraId="4494214E"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w:t>
      </w:r>
      <w:r w:rsidRPr="00E85EC1">
        <w:rPr>
          <w:rFonts w:ascii="Times New Roman" w:hAnsi="Times New Roman" w:cs="Times New Roman"/>
          <w:sz w:val="18"/>
          <w:szCs w:val="18"/>
        </w:rPr>
        <w:lastRenderedPageBreak/>
        <w:t xml:space="preserve">сопоставимы - при относительно небольших неблагоприятных колебаниях цен на рынке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14:paraId="01CE93D8" w14:textId="77777777" w:rsidR="0040768D" w:rsidRPr="00E85EC1" w:rsidRDefault="0057117E"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Настоящая Д</w:t>
      </w:r>
      <w:r w:rsidR="0040768D" w:rsidRPr="00E85EC1">
        <w:rPr>
          <w:rFonts w:ascii="Times New Roman" w:hAnsi="Times New Roman" w:cs="Times New Roman"/>
          <w:sz w:val="18"/>
          <w:szCs w:val="18"/>
        </w:rPr>
        <w:t xml:space="preserve">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w:t>
      </w:r>
      <w:r w:rsidRPr="00E85EC1">
        <w:rPr>
          <w:rFonts w:ascii="Times New Roman" w:hAnsi="Times New Roman" w:cs="Times New Roman"/>
          <w:sz w:val="18"/>
          <w:szCs w:val="18"/>
        </w:rPr>
        <w:t>в</w:t>
      </w:r>
      <w:r w:rsidR="0040768D" w:rsidRPr="00E85EC1">
        <w:rPr>
          <w:rFonts w:ascii="Times New Roman" w:hAnsi="Times New Roman" w:cs="Times New Roman"/>
          <w:sz w:val="18"/>
          <w:szCs w:val="18"/>
        </w:rPr>
        <w:t xml:space="preserve">аши производные финансовые инструменты соотносятся с операциями, риски по которым </w:t>
      </w:r>
      <w:r w:rsidRPr="00E85EC1">
        <w:rPr>
          <w:rFonts w:ascii="Times New Roman" w:hAnsi="Times New Roman" w:cs="Times New Roman"/>
          <w:sz w:val="18"/>
          <w:szCs w:val="18"/>
        </w:rPr>
        <w:t>в</w:t>
      </w:r>
      <w:r w:rsidR="0040768D" w:rsidRPr="00E85EC1">
        <w:rPr>
          <w:rFonts w:ascii="Times New Roman" w:hAnsi="Times New Roman" w:cs="Times New Roman"/>
          <w:sz w:val="18"/>
          <w:szCs w:val="18"/>
        </w:rPr>
        <w:t xml:space="preserve">ы намерены ограничить, и убедитесь, что объем </w:t>
      </w:r>
      <w:r w:rsidRPr="00E85EC1">
        <w:rPr>
          <w:rFonts w:ascii="Times New Roman" w:hAnsi="Times New Roman" w:cs="Times New Roman"/>
          <w:sz w:val="18"/>
          <w:szCs w:val="18"/>
        </w:rPr>
        <w:t>в</w:t>
      </w:r>
      <w:r w:rsidR="0040768D" w:rsidRPr="00E85EC1">
        <w:rPr>
          <w:rFonts w:ascii="Times New Roman" w:hAnsi="Times New Roman" w:cs="Times New Roman"/>
          <w:sz w:val="18"/>
          <w:szCs w:val="18"/>
        </w:rPr>
        <w:t xml:space="preserve">ашей позиции на срочном рынке соответствует объему позиции на спот рынке, которую </w:t>
      </w:r>
      <w:r w:rsidRPr="00E85EC1">
        <w:rPr>
          <w:rFonts w:ascii="Times New Roman" w:hAnsi="Times New Roman" w:cs="Times New Roman"/>
          <w:sz w:val="18"/>
          <w:szCs w:val="18"/>
        </w:rPr>
        <w:t>в</w:t>
      </w:r>
      <w:r w:rsidR="0040768D" w:rsidRPr="00E85EC1">
        <w:rPr>
          <w:rFonts w:ascii="Times New Roman" w:hAnsi="Times New Roman" w:cs="Times New Roman"/>
          <w:sz w:val="18"/>
          <w:szCs w:val="18"/>
        </w:rPr>
        <w:t>ы хеджируете.</w:t>
      </w:r>
    </w:p>
    <w:p w14:paraId="6D0A6529" w14:textId="77777777" w:rsidR="0040768D" w:rsidRPr="00E85EC1" w:rsidRDefault="0040768D" w:rsidP="00B90565">
      <w:pPr>
        <w:pStyle w:val="a3"/>
        <w:numPr>
          <w:ilvl w:val="0"/>
          <w:numId w:val="7"/>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Рыночный (ценовой) риск</w:t>
      </w:r>
    </w:p>
    <w:p w14:paraId="42D7CFBB"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Помимо общего рыночного (ценового) риска, который несет клиент, совершающий операции на рынке ценных бумаг,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14:paraId="6C4910D2"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В случае неблагоприятного изменения цены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 xml:space="preserve">ы можете в сравнительно короткий срок потерять средства, являющиеся обеспечением производных финансовых инструментов. </w:t>
      </w:r>
    </w:p>
    <w:p w14:paraId="4A174AF7" w14:textId="77777777" w:rsidR="0040768D" w:rsidRPr="00E85EC1" w:rsidRDefault="0040768D" w:rsidP="00B90565">
      <w:pPr>
        <w:pStyle w:val="a3"/>
        <w:numPr>
          <w:ilvl w:val="0"/>
          <w:numId w:val="7"/>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Риск ликвидности </w:t>
      </w:r>
    </w:p>
    <w:p w14:paraId="7AA3B72D"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Если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14:paraId="75B72431"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Если заключенный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 xml:space="preserve">ами договор, являющийся производным финансовым инструментом, неликвиден, и у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14:paraId="0DF46CE8"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При этом труд</w:t>
      </w:r>
      <w:r w:rsidR="00B90565" w:rsidRPr="00E85EC1">
        <w:rPr>
          <w:rFonts w:ascii="Times New Roman" w:hAnsi="Times New Roman" w:cs="Times New Roman"/>
          <w:sz w:val="18"/>
          <w:szCs w:val="18"/>
        </w:rPr>
        <w:t xml:space="preserve">ности с закрытием позиций </w:t>
      </w:r>
      <w:r w:rsidRPr="00E85EC1">
        <w:rPr>
          <w:rFonts w:ascii="Times New Roman" w:hAnsi="Times New Roman" w:cs="Times New Roman"/>
          <w:sz w:val="18"/>
          <w:szCs w:val="18"/>
        </w:rPr>
        <w:t xml:space="preserve">и потери в цене могут привести к увеличению убытков по сравнению с обычными сделками. </w:t>
      </w:r>
    </w:p>
    <w:p w14:paraId="7502B28E"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ами цене может оказаться невозможным.</w:t>
      </w:r>
    </w:p>
    <w:p w14:paraId="0388ED39" w14:textId="77777777" w:rsidR="0040768D" w:rsidRPr="00E85EC1" w:rsidRDefault="0040768D" w:rsidP="00B90565">
      <w:pPr>
        <w:pStyle w:val="a3"/>
        <w:numPr>
          <w:ilvl w:val="0"/>
          <w:numId w:val="7"/>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Ограничение распоряжения средст</w:t>
      </w:r>
      <w:r w:rsidR="0057117E" w:rsidRPr="00E85EC1">
        <w:rPr>
          <w:rFonts w:ascii="Times New Roman" w:hAnsi="Times New Roman" w:cs="Times New Roman"/>
          <w:sz w:val="18"/>
          <w:szCs w:val="18"/>
        </w:rPr>
        <w:t>вами, являющимися обеспечением</w:t>
      </w:r>
    </w:p>
    <w:p w14:paraId="37014C18"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Имущество (часть имущества), принадлежащее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 xml:space="preserve">ам, в результате заключения договора, являющегося производным финансовым инструментом, будет являться обеспечением исполнения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 xml:space="preserve">аших обязательств по договору и распоряжение им, то есть возможность совершения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 xml:space="preserve">ами сделок с ним, будет ограничено. Размер обеспечения изменяется в порядке, предусмотренном договором (спецификацией контракта), и в результате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ы можете быть ограничены в возможности распоряжаться своим имуществом в большей степени, чем до заключения договора.</w:t>
      </w:r>
    </w:p>
    <w:p w14:paraId="47D10AE3" w14:textId="77777777" w:rsidR="0040768D" w:rsidRPr="00E85EC1" w:rsidRDefault="0040768D" w:rsidP="00B90565">
      <w:pPr>
        <w:pStyle w:val="a3"/>
        <w:numPr>
          <w:ilvl w:val="0"/>
          <w:numId w:val="6"/>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Риск принудительного закрытия позиции</w:t>
      </w:r>
    </w:p>
    <w:p w14:paraId="399B7BF5" w14:textId="0FE25E5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w:t>
      </w:r>
      <w:r w:rsidR="00C21651" w:rsidRPr="00E85EC1">
        <w:rPr>
          <w:rFonts w:ascii="Times New Roman" w:hAnsi="Times New Roman" w:cs="Times New Roman"/>
          <w:sz w:val="18"/>
          <w:szCs w:val="18"/>
        </w:rPr>
        <w:t>договора о брокерском обслуживании</w:t>
      </w:r>
      <w:r w:rsidRPr="00E85EC1">
        <w:rPr>
          <w:rFonts w:ascii="Times New Roman" w:hAnsi="Times New Roman" w:cs="Times New Roman"/>
          <w:sz w:val="18"/>
          <w:szCs w:val="18"/>
        </w:rPr>
        <w:t xml:space="preserve">, что должно быть сделано в короткий срок, которого может быть недостаточно для </w:t>
      </w:r>
      <w:r w:rsidR="0057117E" w:rsidRPr="00E85EC1">
        <w:rPr>
          <w:rFonts w:ascii="Times New Roman" w:hAnsi="Times New Roman" w:cs="Times New Roman"/>
          <w:sz w:val="18"/>
          <w:szCs w:val="18"/>
        </w:rPr>
        <w:t>в</w:t>
      </w:r>
      <w:r w:rsidR="0090551B" w:rsidRPr="00E85EC1">
        <w:rPr>
          <w:rFonts w:ascii="Times New Roman" w:hAnsi="Times New Roman" w:cs="Times New Roman"/>
          <w:sz w:val="18"/>
          <w:szCs w:val="18"/>
        </w:rPr>
        <w:t>ас. в</w:t>
      </w:r>
      <w:r w:rsidRPr="00E85EC1">
        <w:rPr>
          <w:rFonts w:ascii="Times New Roman" w:hAnsi="Times New Roman" w:cs="Times New Roman"/>
          <w:sz w:val="18"/>
          <w:szCs w:val="18"/>
        </w:rPr>
        <w:t xml:space="preserve">аш брокер в этом случае вправе без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 xml:space="preserve">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 xml:space="preserve">аших денежных средств, или продать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 xml:space="preserve">аши ценные бумаги. Это может быть сделано по существующим, в том числе невыгодным, ценам и привести к возникновению у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ас убытков.</w:t>
      </w:r>
    </w:p>
    <w:p w14:paraId="1CEF4983"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w:t>
      </w:r>
      <w:r w:rsidR="0057117E" w:rsidRPr="00E85EC1">
        <w:rPr>
          <w:rFonts w:ascii="Times New Roman" w:hAnsi="Times New Roman" w:cs="Times New Roman"/>
          <w:sz w:val="18"/>
          <w:szCs w:val="18"/>
        </w:rPr>
        <w:t>вас направление и в</w:t>
      </w:r>
      <w:r w:rsidRPr="00E85EC1">
        <w:rPr>
          <w:rFonts w:ascii="Times New Roman" w:hAnsi="Times New Roman" w:cs="Times New Roman"/>
          <w:sz w:val="18"/>
          <w:szCs w:val="18"/>
        </w:rPr>
        <w:t xml:space="preserve">ы получили бы доход, если бы </w:t>
      </w:r>
      <w:r w:rsidR="0057117E" w:rsidRPr="00E85EC1">
        <w:rPr>
          <w:rFonts w:ascii="Times New Roman" w:hAnsi="Times New Roman" w:cs="Times New Roman"/>
          <w:sz w:val="18"/>
          <w:szCs w:val="18"/>
        </w:rPr>
        <w:t>в</w:t>
      </w:r>
      <w:r w:rsidRPr="00E85EC1">
        <w:rPr>
          <w:rFonts w:ascii="Times New Roman" w:hAnsi="Times New Roman" w:cs="Times New Roman"/>
          <w:sz w:val="18"/>
          <w:szCs w:val="18"/>
        </w:rPr>
        <w:t xml:space="preserve">аша позиция не была закрыта. </w:t>
      </w:r>
    </w:p>
    <w:p w14:paraId="22E3E276" w14:textId="77777777" w:rsidR="0040768D" w:rsidRPr="00E85EC1" w:rsidRDefault="0040768D" w:rsidP="00B90565">
      <w:pPr>
        <w:pStyle w:val="a3"/>
        <w:numPr>
          <w:ilvl w:val="0"/>
          <w:numId w:val="6"/>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Риски, обусловленные иностранным происхождением базисного актива</w:t>
      </w:r>
    </w:p>
    <w:p w14:paraId="1B73815E" w14:textId="77777777" w:rsidR="0040768D" w:rsidRPr="00E85EC1" w:rsidRDefault="0040768D" w:rsidP="00B90565">
      <w:pPr>
        <w:pStyle w:val="a3"/>
        <w:numPr>
          <w:ilvl w:val="0"/>
          <w:numId w:val="8"/>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Системные риски</w:t>
      </w:r>
    </w:p>
    <w:p w14:paraId="3936A4FA"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14:paraId="0063DCA5" w14:textId="288F3648"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lastRenderedPageBreak/>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w:t>
      </w:r>
      <w:r w:rsidR="00687BDA" w:rsidRPr="00E85EC1">
        <w:rPr>
          <w:rFonts w:ascii="Times New Roman" w:hAnsi="Times New Roman" w:cs="Times New Roman"/>
          <w:sz w:val="18"/>
          <w:szCs w:val="18"/>
          <w:lang w:val="en-US"/>
        </w:rPr>
        <w:t>RATINGS</w:t>
      </w:r>
      <w:r w:rsidRPr="00E85EC1">
        <w:rPr>
          <w:rFonts w:ascii="Times New Roman" w:hAnsi="Times New Roman" w:cs="Times New Roman"/>
          <w:sz w:val="18"/>
          <w:szCs w:val="18"/>
        </w:rPr>
        <w:t>, однако следует иметь в виду, что рейтинги являются лишь ориентирами и могут в конкретный момент не соответствовать реальной ситуации.</w:t>
      </w:r>
    </w:p>
    <w:p w14:paraId="121466E8"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w:t>
      </w:r>
      <w:r w:rsidR="0090551B" w:rsidRPr="00E85EC1">
        <w:rPr>
          <w:rFonts w:ascii="Times New Roman" w:hAnsi="Times New Roman" w:cs="Times New Roman"/>
          <w:sz w:val="18"/>
          <w:szCs w:val="18"/>
        </w:rPr>
        <w:t>о указанным договорам, вопреки в</w:t>
      </w:r>
      <w:r w:rsidRPr="00E85EC1">
        <w:rPr>
          <w:rFonts w:ascii="Times New Roman" w:hAnsi="Times New Roman" w:cs="Times New Roman"/>
          <w:sz w:val="18"/>
          <w:szCs w:val="18"/>
        </w:rPr>
        <w:t>ашим планам.</w:t>
      </w:r>
    </w:p>
    <w:p w14:paraId="33BC9844" w14:textId="77777777" w:rsidR="0040768D" w:rsidRPr="00E85EC1" w:rsidRDefault="0040768D" w:rsidP="00B90565">
      <w:pPr>
        <w:pStyle w:val="a3"/>
        <w:numPr>
          <w:ilvl w:val="0"/>
          <w:numId w:val="8"/>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Правовые риски</w:t>
      </w:r>
    </w:p>
    <w:p w14:paraId="652A4392"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14:paraId="216F2669"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w:t>
      </w:r>
      <w:r w:rsidR="0090551B" w:rsidRPr="00E85EC1">
        <w:rPr>
          <w:rFonts w:ascii="Times New Roman" w:hAnsi="Times New Roman" w:cs="Times New Roman"/>
          <w:sz w:val="18"/>
          <w:szCs w:val="18"/>
        </w:rPr>
        <w:t>ствующих в России. Кроме того, в</w:t>
      </w:r>
      <w:r w:rsidRPr="00E85EC1">
        <w:rPr>
          <w:rFonts w:ascii="Times New Roman" w:hAnsi="Times New Roman" w:cs="Times New Roman"/>
          <w:sz w:val="18"/>
          <w:szCs w:val="18"/>
        </w:rPr>
        <w:t>ы в большинстве случаев не сможете полагаться на защиту своих прав и законных интересов российскими уполномоченными органами.</w:t>
      </w:r>
    </w:p>
    <w:p w14:paraId="402152FA" w14:textId="77777777" w:rsidR="0040768D" w:rsidRPr="00E85EC1" w:rsidRDefault="0040768D" w:rsidP="00B90565">
      <w:pPr>
        <w:pStyle w:val="a3"/>
        <w:numPr>
          <w:ilvl w:val="0"/>
          <w:numId w:val="8"/>
        </w:num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Раскрытие информации</w:t>
      </w:r>
    </w:p>
    <w:p w14:paraId="59790993"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w:t>
      </w:r>
      <w:r w:rsidR="0090551B" w:rsidRPr="00E85EC1">
        <w:rPr>
          <w:rFonts w:ascii="Times New Roman" w:hAnsi="Times New Roman" w:cs="Times New Roman"/>
          <w:sz w:val="18"/>
          <w:szCs w:val="18"/>
        </w:rPr>
        <w:t>зыке, а также то, понимаете ли в</w:t>
      </w:r>
      <w:r w:rsidRPr="00E85EC1">
        <w:rPr>
          <w:rFonts w:ascii="Times New Roman" w:hAnsi="Times New Roman" w:cs="Times New Roman"/>
          <w:sz w:val="18"/>
          <w:szCs w:val="18"/>
        </w:rPr>
        <w:t>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371348E" w14:textId="77777777" w:rsidR="0040768D"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Также российские организаторы торговли и (или) брокеры могут осуществлять перевод некоторых документов (информации), раскрыва</w:t>
      </w:r>
      <w:r w:rsidR="0090551B" w:rsidRPr="00E85EC1">
        <w:rPr>
          <w:rFonts w:ascii="Times New Roman" w:hAnsi="Times New Roman" w:cs="Times New Roman"/>
          <w:sz w:val="18"/>
          <w:szCs w:val="18"/>
        </w:rPr>
        <w:t>емых иностранным эмитентом для в</w:t>
      </w:r>
      <w:r w:rsidRPr="00E85EC1">
        <w:rPr>
          <w:rFonts w:ascii="Times New Roman" w:hAnsi="Times New Roman" w:cs="Times New Roman"/>
          <w:sz w:val="18"/>
          <w:szCs w:val="18"/>
        </w:rPr>
        <w:t>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w:t>
      </w:r>
      <w:r w:rsidR="0090551B" w:rsidRPr="00E85EC1">
        <w:rPr>
          <w:rFonts w:ascii="Times New Roman" w:hAnsi="Times New Roman" w:cs="Times New Roman"/>
          <w:sz w:val="18"/>
          <w:szCs w:val="18"/>
        </w:rPr>
        <w:t xml:space="preserve">шибок переводчика, в том числе, </w:t>
      </w:r>
      <w:r w:rsidRPr="00E85EC1">
        <w:rPr>
          <w:rFonts w:ascii="Times New Roman" w:hAnsi="Times New Roman" w:cs="Times New Roman"/>
          <w:sz w:val="18"/>
          <w:szCs w:val="18"/>
        </w:rPr>
        <w:t>связанных с возможным различным переводом одних и тех же иностранных слов и фраз или отсутствием общепринятого русского эквивалента.</w:t>
      </w:r>
    </w:p>
    <w:p w14:paraId="004D418B" w14:textId="0A7A9C29" w:rsidR="00E73DB0" w:rsidRPr="00E85EC1" w:rsidRDefault="0040768D" w:rsidP="0040768D">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Учитывая </w:t>
      </w:r>
      <w:r w:rsidR="0090551B" w:rsidRPr="00E85EC1">
        <w:rPr>
          <w:rFonts w:ascii="Times New Roman" w:hAnsi="Times New Roman" w:cs="Times New Roman"/>
          <w:sz w:val="18"/>
          <w:szCs w:val="18"/>
        </w:rPr>
        <w:t>вышеизложенное, мы рекомендуем в</w:t>
      </w:r>
      <w:r w:rsidRPr="00E85EC1">
        <w:rPr>
          <w:rFonts w:ascii="Times New Roman" w:hAnsi="Times New Roman" w:cs="Times New Roman"/>
          <w:sz w:val="18"/>
          <w:szCs w:val="18"/>
        </w:rPr>
        <w:t>ам внимательно рассмотреть вопрос о том, являются ли риски, возникающие при проведении соответству</w:t>
      </w:r>
      <w:r w:rsidR="0090551B" w:rsidRPr="00E85EC1">
        <w:rPr>
          <w:rFonts w:ascii="Times New Roman" w:hAnsi="Times New Roman" w:cs="Times New Roman"/>
          <w:sz w:val="18"/>
          <w:szCs w:val="18"/>
        </w:rPr>
        <w:t>ющих операций, приемлемыми для вас с учетом в</w:t>
      </w:r>
      <w:r w:rsidRPr="00E85EC1">
        <w:rPr>
          <w:rFonts w:ascii="Times New Roman" w:hAnsi="Times New Roman" w:cs="Times New Roman"/>
          <w:sz w:val="18"/>
          <w:szCs w:val="18"/>
        </w:rPr>
        <w:t xml:space="preserve">аших инвестиционных целей и финансовых возможностей. Данная Декларация </w:t>
      </w:r>
      <w:r w:rsidR="0090551B" w:rsidRPr="00E85EC1">
        <w:rPr>
          <w:rFonts w:ascii="Times New Roman" w:hAnsi="Times New Roman" w:cs="Times New Roman"/>
          <w:sz w:val="18"/>
          <w:szCs w:val="18"/>
        </w:rPr>
        <w:t>не имеет своей целью заставить в</w:t>
      </w:r>
      <w:r w:rsidRPr="00E85EC1">
        <w:rPr>
          <w:rFonts w:ascii="Times New Roman" w:hAnsi="Times New Roman" w:cs="Times New Roman"/>
          <w:sz w:val="18"/>
          <w:szCs w:val="18"/>
        </w:rPr>
        <w:t>ас отказаться от осуществления так</w:t>
      </w:r>
      <w:r w:rsidR="0090551B" w:rsidRPr="00E85EC1">
        <w:rPr>
          <w:rFonts w:ascii="Times New Roman" w:hAnsi="Times New Roman" w:cs="Times New Roman"/>
          <w:sz w:val="18"/>
          <w:szCs w:val="18"/>
        </w:rPr>
        <w:t>их операций, а призвана помочь в</w:t>
      </w:r>
      <w:r w:rsidRPr="00E85EC1">
        <w:rPr>
          <w:rFonts w:ascii="Times New Roman" w:hAnsi="Times New Roman" w:cs="Times New Roman"/>
          <w:sz w:val="18"/>
          <w:szCs w:val="18"/>
        </w:rPr>
        <w:t>ам оценить их риски и ответственно подо</w:t>
      </w:r>
      <w:r w:rsidR="0090551B" w:rsidRPr="00E85EC1">
        <w:rPr>
          <w:rFonts w:ascii="Times New Roman" w:hAnsi="Times New Roman" w:cs="Times New Roman"/>
          <w:sz w:val="18"/>
          <w:szCs w:val="18"/>
        </w:rPr>
        <w:t>йти к решению вопроса о выборе в</w:t>
      </w:r>
      <w:r w:rsidRPr="00E85EC1">
        <w:rPr>
          <w:rFonts w:ascii="Times New Roman" w:hAnsi="Times New Roman" w:cs="Times New Roman"/>
          <w:sz w:val="18"/>
          <w:szCs w:val="18"/>
        </w:rPr>
        <w:t xml:space="preserve">ашей инвестиционной </w:t>
      </w:r>
      <w:r w:rsidR="0090551B" w:rsidRPr="00E85EC1">
        <w:rPr>
          <w:rFonts w:ascii="Times New Roman" w:hAnsi="Times New Roman" w:cs="Times New Roman"/>
          <w:sz w:val="18"/>
          <w:szCs w:val="18"/>
        </w:rPr>
        <w:t>стратегии и условий договора с в</w:t>
      </w:r>
      <w:r w:rsidRPr="00E85EC1">
        <w:rPr>
          <w:rFonts w:ascii="Times New Roman" w:hAnsi="Times New Roman" w:cs="Times New Roman"/>
          <w:sz w:val="18"/>
          <w:szCs w:val="18"/>
        </w:rPr>
        <w:t>ашим брокер</w:t>
      </w:r>
      <w:r w:rsidR="0036478D" w:rsidRPr="00E85EC1">
        <w:rPr>
          <w:rFonts w:ascii="Times New Roman" w:hAnsi="Times New Roman" w:cs="Times New Roman"/>
          <w:sz w:val="18"/>
          <w:szCs w:val="18"/>
        </w:rPr>
        <w:t>ом</w:t>
      </w:r>
      <w:r w:rsidRPr="00E85EC1">
        <w:rPr>
          <w:rFonts w:ascii="Times New Roman" w:hAnsi="Times New Roman" w:cs="Times New Roman"/>
          <w:sz w:val="18"/>
          <w:szCs w:val="18"/>
        </w:rPr>
        <w:t>.</w:t>
      </w:r>
    </w:p>
    <w:p w14:paraId="3FB628C5" w14:textId="77777777" w:rsidR="00370C69" w:rsidRPr="00E85EC1" w:rsidRDefault="00370C69" w:rsidP="00624CEF">
      <w:pPr>
        <w:pStyle w:val="a3"/>
        <w:numPr>
          <w:ilvl w:val="0"/>
          <w:numId w:val="17"/>
        </w:numPr>
        <w:autoSpaceDE w:val="0"/>
        <w:autoSpaceDN w:val="0"/>
        <w:adjustRightInd w:val="0"/>
        <w:spacing w:after="120" w:line="240" w:lineRule="auto"/>
        <w:jc w:val="center"/>
        <w:rPr>
          <w:rFonts w:ascii="Times New Roman" w:hAnsi="Times New Roman" w:cs="Times New Roman"/>
          <w:b/>
          <w:bCs/>
          <w:sz w:val="18"/>
          <w:szCs w:val="18"/>
        </w:rPr>
      </w:pPr>
      <w:r w:rsidRPr="00E85EC1">
        <w:rPr>
          <w:rFonts w:ascii="Times New Roman" w:hAnsi="Times New Roman" w:cs="Times New Roman"/>
          <w:b/>
          <w:bCs/>
          <w:sz w:val="18"/>
          <w:szCs w:val="18"/>
        </w:rPr>
        <w:t>Декларация о рисках, связанных с индивидуальными инвестиционными счетами.</w:t>
      </w:r>
    </w:p>
    <w:p w14:paraId="210F589D" w14:textId="77777777" w:rsidR="00902A94" w:rsidRPr="00762C07" w:rsidRDefault="00902A94" w:rsidP="00E85EC1">
      <w:pPr>
        <w:autoSpaceDE w:val="0"/>
        <w:autoSpaceDN w:val="0"/>
        <w:adjustRightInd w:val="0"/>
        <w:spacing w:after="120" w:line="240" w:lineRule="auto"/>
        <w:jc w:val="both"/>
        <w:rPr>
          <w:rFonts w:ascii="Times New Roman" w:hAnsi="Times New Roman" w:cs="Times New Roman"/>
          <w:i/>
          <w:sz w:val="18"/>
          <w:szCs w:val="18"/>
        </w:rPr>
      </w:pPr>
      <w:r w:rsidRPr="00762C07">
        <w:rPr>
          <w:rFonts w:ascii="Times New Roman" w:hAnsi="Times New Roman" w:cs="Times New Roman"/>
          <w:i/>
          <w:sz w:val="18"/>
          <w:szCs w:val="18"/>
        </w:rPr>
        <w:t>Декларация о рисках в отношении Договора о брокерском обслуживании, предусматривающего ведение индивидуального инвестиционного счета, заключенного в период с 01.01.2015 по 31.12.2023 включительно:</w:t>
      </w:r>
    </w:p>
    <w:p w14:paraId="4A46ED06" w14:textId="558E8E83" w:rsidR="00370C69" w:rsidRPr="00E85EC1" w:rsidRDefault="00C21651" w:rsidP="00E85EC1">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Если з</w:t>
      </w:r>
      <w:r w:rsidR="00370C69" w:rsidRPr="00E85EC1">
        <w:rPr>
          <w:rFonts w:ascii="Times New Roman" w:hAnsi="Times New Roman" w:cs="Times New Roman"/>
          <w:sz w:val="18"/>
          <w:szCs w:val="18"/>
        </w:rPr>
        <w:t xml:space="preserve">аключаемый вами </w:t>
      </w:r>
      <w:r w:rsidRPr="00E85EC1">
        <w:rPr>
          <w:rFonts w:ascii="Times New Roman" w:hAnsi="Times New Roman" w:cs="Times New Roman"/>
          <w:sz w:val="18"/>
          <w:szCs w:val="18"/>
        </w:rPr>
        <w:t>договор о брокерском обслуживании</w:t>
      </w:r>
      <w:r w:rsidR="00370C69" w:rsidRPr="00E85EC1">
        <w:rPr>
          <w:rFonts w:ascii="Times New Roman" w:hAnsi="Times New Roman" w:cs="Times New Roman"/>
          <w:sz w:val="18"/>
          <w:szCs w:val="18"/>
        </w:rPr>
        <w:t xml:space="preserve"> связан с ведением индивидуального инвестиционного счета, </w:t>
      </w:r>
      <w:r w:rsidR="00605879" w:rsidRPr="00E85EC1">
        <w:rPr>
          <w:rFonts w:ascii="Times New Roman" w:hAnsi="Times New Roman" w:cs="Times New Roman"/>
          <w:sz w:val="18"/>
          <w:szCs w:val="18"/>
        </w:rPr>
        <w:t>то он</w:t>
      </w:r>
      <w:r w:rsidR="00370C69" w:rsidRPr="00E85EC1">
        <w:rPr>
          <w:rFonts w:ascii="Times New Roman" w:hAnsi="Times New Roman" w:cs="Times New Roman"/>
          <w:sz w:val="18"/>
          <w:szCs w:val="18"/>
        </w:rPr>
        <w:t xml:space="preserve"> позволяет вам получить инвестиционный налоговый вычет. Все риски, которые упомянуты в </w:t>
      </w:r>
      <w:r w:rsidR="00624CEF" w:rsidRPr="00624CEF">
        <w:rPr>
          <w:rFonts w:ascii="Times New Roman" w:hAnsi="Times New Roman" w:cs="Times New Roman"/>
          <w:sz w:val="18"/>
          <w:szCs w:val="18"/>
        </w:rPr>
        <w:t>Декларации о рисках, связанных с совершением операций на рынке ценных бумаг</w:t>
      </w:r>
      <w:r w:rsidR="00370C69" w:rsidRPr="00E85EC1">
        <w:rPr>
          <w:rFonts w:ascii="Times New Roman" w:hAnsi="Times New Roman" w:cs="Times New Roman"/>
          <w:sz w:val="18"/>
          <w:szCs w:val="18"/>
        </w:rPr>
        <w:t>,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w:t>
      </w:r>
    </w:p>
    <w:p w14:paraId="1DFFE8C2" w14:textId="77777777" w:rsidR="00370C69" w:rsidRPr="00E85EC1" w:rsidRDefault="00370C69" w:rsidP="00E85EC1">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Существует два варианта инвестиционных налоговых вычетов:</w:t>
      </w:r>
    </w:p>
    <w:p w14:paraId="7D910B54" w14:textId="77777777" w:rsidR="00370C69" w:rsidRPr="00E85EC1" w:rsidRDefault="00370C69" w:rsidP="00E85EC1">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1) «на взнос», по которому вы можете ежегодно обращаться за возвратом уплаченного подоходного налога на сумму сделанного вами взноса, но должны будете уплатить подоходный налог на доход, исчисленный при закрытии индивидуального инвестиционного счета;</w:t>
      </w:r>
    </w:p>
    <w:p w14:paraId="406C7FD7" w14:textId="77777777" w:rsidR="00370C69" w:rsidRPr="00E85EC1" w:rsidRDefault="00370C69" w:rsidP="00E85EC1">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2) «на изъятие средств со счета», по которому вы не сможете получать ежегодный возврат налога, но будете освобождены от уплаты подоходного налога при изъятии средств с индивидуального инвестиционного счета.</w:t>
      </w:r>
    </w:p>
    <w:p w14:paraId="1D712B5B" w14:textId="77777777" w:rsidR="00370C69" w:rsidRPr="00E85EC1" w:rsidRDefault="00370C69" w:rsidP="00E85EC1">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Обратите внимание на то, что вы сможете воспользоваться только одним из вариантов инвестиционного налогового вычета, это значит, что если вы хотя бы однажды воспользуетесь инвестиционным вычетом «на взнос», то не сможете воспользоваться инвестиционным вычетом «на изъятие средств», что может лишить вас всех преимуществ этого варианта. Определите предпочтительный для вас вариант, обсудите достоинства и недостатки каждого варианта с вашим брокером и (или) консультантом, специализирующимся на соответствующих консультациях.</w:t>
      </w:r>
    </w:p>
    <w:p w14:paraId="19990A24" w14:textId="048016CF" w:rsidR="00370C69" w:rsidRPr="00E85EC1" w:rsidRDefault="00370C69" w:rsidP="00E85EC1">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Вам следует иметь в виду также то, что если вы прекратите ваш </w:t>
      </w:r>
      <w:r w:rsidR="00605879" w:rsidRPr="00E85EC1">
        <w:rPr>
          <w:rFonts w:ascii="Times New Roman" w:hAnsi="Times New Roman" w:cs="Times New Roman"/>
          <w:sz w:val="18"/>
          <w:szCs w:val="18"/>
        </w:rPr>
        <w:t>договор о брокерском обслуживании, предусматривающий открытие и ведение индивидуального инвестиционного счета,</w:t>
      </w:r>
      <w:r w:rsidRPr="00E85EC1">
        <w:rPr>
          <w:rFonts w:ascii="Times New Roman" w:hAnsi="Times New Roman" w:cs="Times New Roman"/>
          <w:sz w:val="18"/>
          <w:szCs w:val="18"/>
        </w:rPr>
        <w:t xml:space="preserve"> ранее трех лет, то не сможете воспользоваться описанными инвестиционными налоговыми вычетами, и, в случае если вы пользовались вычетом «на взнос», вы будете обязаны вернуть государству все суммы возвращенного вам налога.</w:t>
      </w:r>
    </w:p>
    <w:p w14:paraId="1F26D6E1" w14:textId="77777777" w:rsidR="00370C69" w:rsidRPr="00E85EC1" w:rsidRDefault="00370C69" w:rsidP="00E85EC1">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Ваш брокер не знает о вашем выборе варианта инвестиционного налогового вычета и не участвует в ваших отношениях с налоговой службой.</w:t>
      </w:r>
    </w:p>
    <w:p w14:paraId="300E3A60" w14:textId="77777777" w:rsidR="00370C69" w:rsidRPr="00E85EC1" w:rsidRDefault="00370C69" w:rsidP="00E85EC1">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Обращаем внимание на то, что вы можете иметь только один индивидуальный инвестиционный счет. Открытие нескольких индивидуальных инвестиционных счетов у одного или у разных профессиональных участников рынка ценных бумаг приведет к тому, что вы не сможете воспользоваться инвестиционным налоговым вычетом ни по одному из них.</w:t>
      </w:r>
    </w:p>
    <w:p w14:paraId="70B35415" w14:textId="1852A907" w:rsidR="00902A94" w:rsidRPr="00762C07" w:rsidRDefault="00902A94" w:rsidP="00902A94">
      <w:pPr>
        <w:spacing w:before="120" w:after="120" w:line="240" w:lineRule="auto"/>
        <w:mirrorIndents/>
        <w:jc w:val="both"/>
        <w:rPr>
          <w:rFonts w:ascii="Times New Roman" w:hAnsi="Times New Roman" w:cs="Times New Roman"/>
          <w:i/>
          <w:sz w:val="18"/>
          <w:szCs w:val="18"/>
        </w:rPr>
      </w:pPr>
      <w:r w:rsidRPr="00762C07">
        <w:rPr>
          <w:rFonts w:ascii="Times New Roman" w:hAnsi="Times New Roman" w:cs="Times New Roman"/>
          <w:i/>
          <w:sz w:val="18"/>
          <w:szCs w:val="18"/>
        </w:rPr>
        <w:t>Декларация о рисках в отношении Договора о брокерском обслуживании, предусматривающего ведение индивидуального инвестиционного счета, открытого, начиная с 01.01.2024:</w:t>
      </w:r>
    </w:p>
    <w:p w14:paraId="2AADAB7B" w14:textId="02C1CF50" w:rsidR="00902A94" w:rsidRPr="00902A94" w:rsidRDefault="00902A94" w:rsidP="00902A94">
      <w:pPr>
        <w:spacing w:before="120" w:after="120" w:line="240" w:lineRule="auto"/>
        <w:mirrorIndents/>
        <w:jc w:val="both"/>
        <w:rPr>
          <w:rFonts w:ascii="Times New Roman" w:hAnsi="Times New Roman" w:cs="Times New Roman"/>
          <w:sz w:val="18"/>
          <w:szCs w:val="18"/>
        </w:rPr>
      </w:pPr>
      <w:r w:rsidRPr="00902A94">
        <w:rPr>
          <w:rFonts w:ascii="Times New Roman" w:hAnsi="Times New Roman" w:cs="Times New Roman"/>
          <w:sz w:val="18"/>
          <w:szCs w:val="18"/>
        </w:rPr>
        <w:t xml:space="preserve">Заключаемый вами договор связан с ведением индивидуального инвестиционного счета, который позволяет вам получить налоговый вычет. Все риски, которые упомянуты в </w:t>
      </w:r>
      <w:r w:rsidR="00624CEF" w:rsidRPr="00624CEF">
        <w:rPr>
          <w:rFonts w:ascii="Times New Roman" w:hAnsi="Times New Roman" w:cs="Times New Roman"/>
          <w:sz w:val="18"/>
          <w:szCs w:val="18"/>
        </w:rPr>
        <w:t>Декларации о рисках, связанных с совершением операций на рынке ценных бумаг</w:t>
      </w:r>
      <w:r w:rsidRPr="00902A94">
        <w:rPr>
          <w:rFonts w:ascii="Times New Roman" w:hAnsi="Times New Roman" w:cs="Times New Roman"/>
          <w:sz w:val="18"/>
          <w:szCs w:val="18"/>
        </w:rPr>
        <w:t>,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w:t>
      </w:r>
    </w:p>
    <w:p w14:paraId="63985F47" w14:textId="77777777" w:rsidR="00902A94" w:rsidRPr="00902A94" w:rsidRDefault="00902A94" w:rsidP="00902A94">
      <w:pPr>
        <w:spacing w:before="120" w:after="120" w:line="240" w:lineRule="auto"/>
        <w:mirrorIndents/>
        <w:jc w:val="both"/>
        <w:rPr>
          <w:rFonts w:ascii="Times New Roman" w:hAnsi="Times New Roman" w:cs="Times New Roman"/>
          <w:sz w:val="18"/>
          <w:szCs w:val="18"/>
        </w:rPr>
      </w:pPr>
      <w:r w:rsidRPr="00902A94">
        <w:rPr>
          <w:rFonts w:ascii="Times New Roman" w:hAnsi="Times New Roman" w:cs="Times New Roman"/>
          <w:sz w:val="18"/>
          <w:szCs w:val="18"/>
        </w:rPr>
        <w:t>Вам следует иметь в виду, что если вы прекратите ваш договор ранее срока, установленного налоговым законодательством (за исключением случаев прекращения договора на ведение индивидуального инвестиционного счета с переводом всех активов, учитываемых на индивидуальном инвестиционном счете, на другой индивидуальный инвестиционный счет), то не сможете воспользоваться соответствующими налоговыми вычетами, и, в случае если вы пользовались вычетом «на взнос», вы будете обязаны вернуть государству все суммы возвращенного вам налога.</w:t>
      </w:r>
    </w:p>
    <w:p w14:paraId="27C15D8A" w14:textId="49E9B41F" w:rsidR="00370C69" w:rsidRPr="00E85EC1" w:rsidRDefault="00902A94" w:rsidP="00902A94">
      <w:pPr>
        <w:spacing w:before="120" w:after="120" w:line="240" w:lineRule="auto"/>
        <w:mirrorIndents/>
        <w:jc w:val="both"/>
        <w:rPr>
          <w:rFonts w:ascii="Times New Roman" w:hAnsi="Times New Roman" w:cs="Times New Roman"/>
          <w:sz w:val="18"/>
          <w:szCs w:val="18"/>
        </w:rPr>
      </w:pPr>
      <w:r w:rsidRPr="00902A94">
        <w:rPr>
          <w:rFonts w:ascii="Times New Roman" w:hAnsi="Times New Roman" w:cs="Times New Roman"/>
          <w:sz w:val="18"/>
          <w:szCs w:val="18"/>
        </w:rPr>
        <w:t xml:space="preserve">Отдельно обращаем внимание, что до внесения изменений в Налоговый кодекс Российской Федерации сохраняется прежний порядок предоставления инвестиционных налоговых вычетов (см. Декларацию о рисках в отношении Договора о брокерском обслуживании, предусматривающего ведение индивидуального инвестиционного счета, заключенного в период с 01.01.2015 по 31.12.2023 включительно), который не предполагает возможности одновременно получать вычет в части суммы денежных средств, внесенных на индивидуальный инвестиционный счет, открытый после 01.01.2024, и вычет в сумме положительного финансового результата, полученного по операциям, учитываемым на таком </w:t>
      </w:r>
      <w:r w:rsidRPr="00902A94">
        <w:rPr>
          <w:rFonts w:ascii="Times New Roman" w:hAnsi="Times New Roman" w:cs="Times New Roman"/>
          <w:sz w:val="18"/>
          <w:szCs w:val="18"/>
        </w:rPr>
        <w:lastRenderedPageBreak/>
        <w:t>индивидуальном инвестиционном счета, а также не позволяет сохранить налоговые льготы при наличии одновременно нескольких индивидуальных инвестиционных счетов.</w:t>
      </w:r>
    </w:p>
    <w:p w14:paraId="0137736D" w14:textId="6109F413" w:rsidR="00370C69" w:rsidRPr="00E85EC1" w:rsidRDefault="00467739" w:rsidP="00E85EC1">
      <w:pPr>
        <w:pStyle w:val="a3"/>
        <w:autoSpaceDE w:val="0"/>
        <w:autoSpaceDN w:val="0"/>
        <w:adjustRightInd w:val="0"/>
        <w:spacing w:before="120" w:after="120" w:line="240" w:lineRule="auto"/>
        <w:mirrorIndents/>
        <w:jc w:val="center"/>
        <w:rPr>
          <w:rFonts w:ascii="Times New Roman" w:eastAsia="MS Gothic" w:hAnsi="Times New Roman" w:cs="Times New Roman"/>
          <w:b/>
          <w:sz w:val="20"/>
          <w:szCs w:val="20"/>
        </w:rPr>
      </w:pPr>
      <w:r w:rsidRPr="00E85EC1">
        <w:rPr>
          <w:rFonts w:ascii="Times New Roman" w:eastAsia="MS Gothic" w:hAnsi="Times New Roman" w:cs="Times New Roman"/>
          <w:b/>
          <w:sz w:val="20"/>
          <w:szCs w:val="20"/>
        </w:rPr>
        <w:t>Уведомления</w:t>
      </w:r>
    </w:p>
    <w:p w14:paraId="55E5796F" w14:textId="5F706CD1" w:rsidR="00467739" w:rsidRPr="00E85EC1" w:rsidRDefault="00467739" w:rsidP="00467739">
      <w:pPr>
        <w:pStyle w:val="a3"/>
        <w:autoSpaceDE w:val="0"/>
        <w:autoSpaceDN w:val="0"/>
        <w:adjustRightInd w:val="0"/>
        <w:spacing w:before="120" w:after="120" w:line="240" w:lineRule="auto"/>
        <w:mirrorIndents/>
        <w:jc w:val="both"/>
        <w:rPr>
          <w:rFonts w:ascii="Times New Roman" w:eastAsia="MS Gothic" w:hAnsi="Times New Roman" w:cs="Times New Roman"/>
          <w:b/>
          <w:sz w:val="20"/>
          <w:szCs w:val="20"/>
        </w:rPr>
      </w:pPr>
    </w:p>
    <w:p w14:paraId="06E120BC" w14:textId="603AD706" w:rsidR="00467739" w:rsidRPr="00E85EC1" w:rsidRDefault="00467739" w:rsidP="00E85EC1">
      <w:pPr>
        <w:pStyle w:val="a3"/>
        <w:numPr>
          <w:ilvl w:val="0"/>
          <w:numId w:val="15"/>
        </w:numPr>
        <w:autoSpaceDE w:val="0"/>
        <w:autoSpaceDN w:val="0"/>
        <w:adjustRightInd w:val="0"/>
        <w:spacing w:before="120" w:after="120" w:line="240" w:lineRule="auto"/>
        <w:mirrorIndents/>
        <w:jc w:val="both"/>
        <w:rPr>
          <w:rFonts w:ascii="Times New Roman" w:eastAsia="MS Gothic" w:hAnsi="Times New Roman" w:cs="Times New Roman"/>
          <w:b/>
          <w:sz w:val="20"/>
          <w:szCs w:val="20"/>
        </w:rPr>
      </w:pPr>
      <w:bookmarkStart w:id="1" w:name="_Hlk140052401"/>
      <w:r w:rsidRPr="00E85EC1">
        <w:rPr>
          <w:rFonts w:ascii="Times New Roman" w:eastAsia="MS Gothic" w:hAnsi="Times New Roman" w:cs="Times New Roman"/>
          <w:b/>
          <w:sz w:val="20"/>
          <w:szCs w:val="20"/>
        </w:rPr>
        <w:t>Уведомление об общем характере и</w:t>
      </w:r>
      <w:r w:rsidR="0036291B" w:rsidRPr="00015175">
        <w:rPr>
          <w:rFonts w:ascii="Times New Roman" w:eastAsia="MS Gothic" w:hAnsi="Times New Roman" w:cs="Times New Roman"/>
          <w:b/>
          <w:sz w:val="20"/>
          <w:szCs w:val="20"/>
        </w:rPr>
        <w:t>(</w:t>
      </w:r>
      <w:r w:rsidRPr="00E85EC1">
        <w:rPr>
          <w:rFonts w:ascii="Times New Roman" w:eastAsia="MS Gothic" w:hAnsi="Times New Roman" w:cs="Times New Roman"/>
          <w:b/>
          <w:sz w:val="20"/>
          <w:szCs w:val="20"/>
        </w:rPr>
        <w:t>или</w:t>
      </w:r>
      <w:r w:rsidR="0036291B" w:rsidRPr="00015175">
        <w:rPr>
          <w:rFonts w:ascii="Times New Roman" w:eastAsia="MS Gothic" w:hAnsi="Times New Roman" w:cs="Times New Roman"/>
          <w:b/>
          <w:sz w:val="20"/>
          <w:szCs w:val="20"/>
        </w:rPr>
        <w:t>)</w:t>
      </w:r>
      <w:r w:rsidRPr="00E85EC1">
        <w:rPr>
          <w:rFonts w:ascii="Times New Roman" w:eastAsia="MS Gothic" w:hAnsi="Times New Roman" w:cs="Times New Roman"/>
          <w:b/>
          <w:sz w:val="20"/>
          <w:szCs w:val="20"/>
        </w:rPr>
        <w:t xml:space="preserve"> источниках конфликта интересов</w:t>
      </w:r>
    </w:p>
    <w:p w14:paraId="05B19249" w14:textId="77777777" w:rsidR="00467739" w:rsidRPr="00E85EC1" w:rsidRDefault="00467739" w:rsidP="00467739">
      <w:pPr>
        <w:spacing w:before="120" w:after="120" w:line="240" w:lineRule="auto"/>
        <w:mirrorIndents/>
        <w:jc w:val="both"/>
        <w:rPr>
          <w:rFonts w:ascii="Times New Roman" w:hAnsi="Times New Roman" w:cs="Times New Roman"/>
          <w:sz w:val="18"/>
          <w:szCs w:val="18"/>
        </w:rPr>
      </w:pPr>
      <w:r w:rsidRPr="00E85EC1">
        <w:rPr>
          <w:rFonts w:ascii="Times New Roman" w:hAnsi="Times New Roman" w:cs="Times New Roman"/>
          <w:sz w:val="18"/>
          <w:szCs w:val="18"/>
        </w:rPr>
        <w:t>Настоящее уведомление создано с целью информирования Клиента об общем характере и (или) источниках конфликта интересов.</w:t>
      </w:r>
    </w:p>
    <w:p w14:paraId="0845A0A9" w14:textId="77777777" w:rsidR="00467739" w:rsidRPr="00E85EC1" w:rsidRDefault="00467739" w:rsidP="00467739">
      <w:pPr>
        <w:spacing w:before="120" w:after="120" w:line="240" w:lineRule="auto"/>
        <w:mirrorIndents/>
        <w:jc w:val="both"/>
        <w:rPr>
          <w:rFonts w:ascii="Times New Roman" w:hAnsi="Times New Roman" w:cs="Times New Roman"/>
          <w:sz w:val="18"/>
          <w:szCs w:val="18"/>
        </w:rPr>
      </w:pPr>
      <w:r w:rsidRPr="00E85EC1">
        <w:rPr>
          <w:rFonts w:ascii="Times New Roman" w:hAnsi="Times New Roman" w:cs="Times New Roman"/>
          <w:sz w:val="18"/>
          <w:szCs w:val="18"/>
        </w:rPr>
        <w:t>В настоящем уведомлении под общим характером конфликта интересов понимается возникающее при осуществлении профессиональной деятельности на рынке ценных бумаг противоречие между имущественными и иными интересами Компании и/или членов ее органов управления, и/или ее участников, и/или ее работников, осуществляющих свою деятельность на основании трудового или гражданско-правового договора или имеющих доступ к служебной или инсайдерской информации на иных законных основаниях, и Клиента, либо между интересами нескольких Клиентов Компании, либо при совмещении видов профессиональной деятельности на рынке ценных бумаг, в результате которого действия или бездействия Компании и/или членов ее органов управления и/или ее участников и/или ее работников могут повлечь причинение убытков Клиенту и/или иные неблагоприятные последствия для Клиента.</w:t>
      </w:r>
    </w:p>
    <w:p w14:paraId="72313853" w14:textId="77777777" w:rsidR="00467739" w:rsidRPr="00E85EC1" w:rsidRDefault="00467739" w:rsidP="00467739">
      <w:pPr>
        <w:spacing w:before="120" w:after="120" w:line="240" w:lineRule="auto"/>
        <w:mirrorIndents/>
        <w:jc w:val="both"/>
        <w:rPr>
          <w:rFonts w:ascii="Times New Roman" w:hAnsi="Times New Roman" w:cs="Times New Roman"/>
          <w:sz w:val="18"/>
          <w:szCs w:val="18"/>
        </w:rPr>
      </w:pPr>
      <w:r w:rsidRPr="00E85EC1">
        <w:rPr>
          <w:rFonts w:ascii="Times New Roman" w:hAnsi="Times New Roman" w:cs="Times New Roman"/>
          <w:sz w:val="18"/>
          <w:szCs w:val="18"/>
        </w:rPr>
        <w:t>В целях исключения конфликта интересов Компания принимает комплекс мер (в том числе меры по выявлению и контролю конфликта интересов, а также предотвращению его последствий), руководствуясь при осуществлении профессиональной деятельности принципом приоритета интересов Клиента перед собственными интересами. Вместе с тем, поскольку риск возникновения конфликта интересов не может быть исключен полностью, Компания информирует Клиента о следующих источниках конфликта интересов:</w:t>
      </w:r>
    </w:p>
    <w:p w14:paraId="654ACC8C"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наличие у Компании, работников Компании, контролирующих или подконтрольных лиц Компании собственного интереса в совершении сделок с ценными бумагами/финансовыми инструментами /иными активами, изменении рыночной цены ценных бумаг /финансовых инструментов /иных активов;</w:t>
      </w:r>
    </w:p>
    <w:p w14:paraId="01961591"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участие Компании в сделке с разных сторон в интересах разных Клиентов;</w:t>
      </w:r>
    </w:p>
    <w:p w14:paraId="75C61511"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наличие у Компании интереса в приобретении Клиентами определенных ценных бумаг, в случаях выполнения Компанией функций андеррайтера размещаемых ценных бумаг и (или) при ином участии Компании в размещении ценных бумаг;</w:t>
      </w:r>
    </w:p>
    <w:p w14:paraId="4B2332A0"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наличие у Компании интереса в приобретении, обмене или погашении Клиентами определенных паев паевых инвестиционных фондов, в случаях выполнения Компанией функций агента по выдаче, погашению и обмену инвестиционных паев;</w:t>
      </w:r>
    </w:p>
    <w:p w14:paraId="2059F679"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несовпадение интересов Компании, работников аналитического подразделения Компании и Клиента (-ов) в процессе подготовки работниками Компании инвестиционно-аналитических исследований;</w:t>
      </w:r>
    </w:p>
    <w:p w14:paraId="36514B56"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нарушение принципа независимости аналитического подразделения Компании и принципов организации взаимодействия работников различных подразделений Компании (принципа «китайских стен»);</w:t>
      </w:r>
    </w:p>
    <w:p w14:paraId="67C3F1BD"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совмещение Компанией нескольких видов профессиональной деятельности на рынке ценных бумаг;</w:t>
      </w:r>
    </w:p>
    <w:p w14:paraId="63C9A006" w14:textId="5697B6E9" w:rsidR="00370C69" w:rsidRPr="00E85EC1" w:rsidRDefault="00467739" w:rsidP="00E85EC1">
      <w:pPr>
        <w:spacing w:before="120" w:after="120" w:line="240" w:lineRule="auto"/>
        <w:mirrorIndents/>
        <w:jc w:val="both"/>
        <w:rPr>
          <w:rFonts w:ascii="Times New Roman" w:hAnsi="Times New Roman" w:cs="Times New Roman"/>
          <w:sz w:val="18"/>
          <w:szCs w:val="18"/>
        </w:rPr>
      </w:pPr>
      <w:r w:rsidRPr="00E85EC1">
        <w:rPr>
          <w:rFonts w:ascii="Times New Roman" w:hAnsi="Times New Roman" w:cs="Times New Roman"/>
          <w:sz w:val="18"/>
          <w:szCs w:val="18"/>
        </w:rPr>
        <w:t>Клиенту при принятии инвестиционных и иных решений в процессе взаимодействия с Компанией следует исходить из возможного наличия перечисленных обстоятельств, самостоятельно обращаться в Компанию за предоставлением дополнительных пояснений применительно к конкретной ситуации, в случае наличия у него сомнений и неразрешенных вопросов.</w:t>
      </w:r>
      <w:bookmarkEnd w:id="1"/>
    </w:p>
    <w:p w14:paraId="6F773E2F" w14:textId="77777777" w:rsidR="0036291B" w:rsidRPr="00015175" w:rsidRDefault="0036291B" w:rsidP="00015175">
      <w:pPr>
        <w:pStyle w:val="a3"/>
        <w:numPr>
          <w:ilvl w:val="0"/>
          <w:numId w:val="15"/>
        </w:numPr>
        <w:autoSpaceDE w:val="0"/>
        <w:autoSpaceDN w:val="0"/>
        <w:adjustRightInd w:val="0"/>
        <w:spacing w:before="120" w:after="120" w:line="240" w:lineRule="auto"/>
        <w:mirrorIndents/>
        <w:jc w:val="both"/>
        <w:rPr>
          <w:rFonts w:ascii="Times New Roman" w:eastAsia="MS Gothic" w:hAnsi="Times New Roman" w:cs="Times New Roman"/>
          <w:b/>
          <w:sz w:val="20"/>
          <w:szCs w:val="20"/>
        </w:rPr>
      </w:pPr>
      <w:r w:rsidRPr="00015175">
        <w:rPr>
          <w:rFonts w:ascii="Times New Roman" w:eastAsia="MS Gothic" w:hAnsi="Times New Roman" w:cs="Times New Roman"/>
          <w:b/>
          <w:sz w:val="20"/>
          <w:szCs w:val="20"/>
        </w:rPr>
        <w:t>Уведомление о праве подать брокеру заявление об отказе от предоставления брокеру права использования в своих интересах денежных средств и (или) ценных бумаг клиента</w:t>
      </w:r>
    </w:p>
    <w:p w14:paraId="7D5CAB74" w14:textId="1E947CA3" w:rsidR="0036291B" w:rsidRPr="00015175" w:rsidRDefault="0036291B" w:rsidP="00015175">
      <w:pPr>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Клиент, предоставивший Компании право использования в своих интересах денежных средств и/или ценных бумаг Клиента, вправе в любое время направить Компании заявление об отказе от предоставления Компании права использования в своих интересах денежных средств и/или ценных бумаг Клиента. Заявление об отказе от предоставления Компании права использования в своих интересах денежных средств и/или ценных бумаг Клиента направляется в виде Заявления об изменении условий </w:t>
      </w:r>
      <w:r w:rsidR="00CD5411">
        <w:rPr>
          <w:rFonts w:ascii="Times New Roman" w:hAnsi="Times New Roman" w:cs="Times New Roman"/>
          <w:sz w:val="18"/>
          <w:szCs w:val="18"/>
        </w:rPr>
        <w:t>б</w:t>
      </w:r>
      <w:r w:rsidRPr="00015175">
        <w:rPr>
          <w:rFonts w:ascii="Times New Roman" w:hAnsi="Times New Roman" w:cs="Times New Roman"/>
          <w:sz w:val="18"/>
          <w:szCs w:val="18"/>
        </w:rPr>
        <w:t>рокерского обслуживания (Приложение № 1</w:t>
      </w:r>
      <w:r w:rsidR="00CD5411">
        <w:rPr>
          <w:rFonts w:ascii="Times New Roman" w:hAnsi="Times New Roman" w:cs="Times New Roman"/>
          <w:sz w:val="18"/>
          <w:szCs w:val="18"/>
        </w:rPr>
        <w:t>.</w:t>
      </w:r>
      <w:r w:rsidRPr="00015175">
        <w:rPr>
          <w:rFonts w:ascii="Times New Roman" w:hAnsi="Times New Roman" w:cs="Times New Roman"/>
          <w:sz w:val="18"/>
          <w:szCs w:val="18"/>
        </w:rPr>
        <w:t xml:space="preserve">2 к Регламенту </w:t>
      </w:r>
      <w:r>
        <w:rPr>
          <w:rFonts w:ascii="Times New Roman" w:hAnsi="Times New Roman" w:cs="Times New Roman"/>
          <w:sz w:val="18"/>
          <w:szCs w:val="18"/>
        </w:rPr>
        <w:t>брокерского обслуживания АО «ИК «Горизонт»</w:t>
      </w:r>
      <w:r w:rsidRPr="00015175">
        <w:rPr>
          <w:rFonts w:ascii="Times New Roman" w:hAnsi="Times New Roman" w:cs="Times New Roman"/>
          <w:sz w:val="18"/>
          <w:szCs w:val="18"/>
        </w:rPr>
        <w:t xml:space="preserve">) c отметкой об отказе от предоставления Компании соответствующего права. Такое заявление направляется в соответствии с порядком, установленным частью 2 </w:t>
      </w:r>
      <w:r w:rsidRPr="0047330C">
        <w:rPr>
          <w:rFonts w:ascii="Times New Roman" w:hAnsi="Times New Roman" w:cs="Times New Roman"/>
          <w:sz w:val="18"/>
          <w:szCs w:val="18"/>
        </w:rPr>
        <w:t>Регламент</w:t>
      </w:r>
      <w:r>
        <w:rPr>
          <w:rFonts w:ascii="Times New Roman" w:hAnsi="Times New Roman" w:cs="Times New Roman"/>
          <w:sz w:val="18"/>
          <w:szCs w:val="18"/>
        </w:rPr>
        <w:t>а</w:t>
      </w:r>
      <w:r w:rsidRPr="0047330C">
        <w:rPr>
          <w:rFonts w:ascii="Times New Roman" w:hAnsi="Times New Roman" w:cs="Times New Roman"/>
          <w:sz w:val="18"/>
          <w:szCs w:val="18"/>
        </w:rPr>
        <w:t xml:space="preserve"> </w:t>
      </w:r>
      <w:r>
        <w:rPr>
          <w:rFonts w:ascii="Times New Roman" w:hAnsi="Times New Roman" w:cs="Times New Roman"/>
          <w:sz w:val="18"/>
          <w:szCs w:val="18"/>
        </w:rPr>
        <w:t>брокерского обслуживания АО «ИК «Горизонт»</w:t>
      </w:r>
      <w:r w:rsidRPr="00015175">
        <w:rPr>
          <w:rFonts w:ascii="Times New Roman" w:hAnsi="Times New Roman" w:cs="Times New Roman"/>
          <w:sz w:val="18"/>
          <w:szCs w:val="18"/>
        </w:rPr>
        <w:t>.</w:t>
      </w:r>
    </w:p>
    <w:p w14:paraId="672A6E3C" w14:textId="29DD2A27" w:rsidR="0036291B" w:rsidRPr="00015175" w:rsidRDefault="0036291B" w:rsidP="00015175">
      <w:pPr>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Реализуя свое право на отказ от предоставления Компании права использования в своих интересах денежных средств и/или ценных бумаг Клиента, Клиенту следует учитывать, что, если иное не установлено соглашением между Компанией и Клиентом, такой отказ влечет невозможность совершения Клиентом сделок и договоров, перечисленных в п. 1.5.7 </w:t>
      </w:r>
      <w:r w:rsidRPr="0047330C">
        <w:rPr>
          <w:rFonts w:ascii="Times New Roman" w:hAnsi="Times New Roman" w:cs="Times New Roman"/>
          <w:sz w:val="18"/>
          <w:szCs w:val="18"/>
        </w:rPr>
        <w:t>Регламент</w:t>
      </w:r>
      <w:r>
        <w:rPr>
          <w:rFonts w:ascii="Times New Roman" w:hAnsi="Times New Roman" w:cs="Times New Roman"/>
          <w:sz w:val="18"/>
          <w:szCs w:val="18"/>
        </w:rPr>
        <w:t>а</w:t>
      </w:r>
      <w:r w:rsidRPr="0047330C">
        <w:rPr>
          <w:rFonts w:ascii="Times New Roman" w:hAnsi="Times New Roman" w:cs="Times New Roman"/>
          <w:sz w:val="18"/>
          <w:szCs w:val="18"/>
        </w:rPr>
        <w:t xml:space="preserve"> </w:t>
      </w:r>
      <w:r>
        <w:rPr>
          <w:rFonts w:ascii="Times New Roman" w:hAnsi="Times New Roman" w:cs="Times New Roman"/>
          <w:sz w:val="18"/>
          <w:szCs w:val="18"/>
        </w:rPr>
        <w:t>брокерского обслуживания АО «ИК «Горизонт»</w:t>
      </w:r>
      <w:r w:rsidRPr="00015175">
        <w:rPr>
          <w:rFonts w:ascii="Times New Roman" w:hAnsi="Times New Roman" w:cs="Times New Roman"/>
          <w:sz w:val="18"/>
          <w:szCs w:val="18"/>
        </w:rPr>
        <w:t>.</w:t>
      </w:r>
    </w:p>
    <w:p w14:paraId="61D3DF9E" w14:textId="2F45166B" w:rsidR="0036291B" w:rsidRPr="00015175" w:rsidRDefault="0036291B" w:rsidP="00015175">
      <w:pPr>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t xml:space="preserve">В случае, если отказ от предоставления Компании права использования денежных средств и/или ценных бумаг Клиента в своих интересах заявляется Клиентом, </w:t>
      </w:r>
      <w:r w:rsidR="00CD5411">
        <w:rPr>
          <w:rFonts w:ascii="Times New Roman" w:hAnsi="Times New Roman" w:cs="Times New Roman"/>
          <w:sz w:val="18"/>
          <w:szCs w:val="18"/>
        </w:rPr>
        <w:t>б</w:t>
      </w:r>
      <w:r w:rsidRPr="00015175">
        <w:rPr>
          <w:rFonts w:ascii="Times New Roman" w:hAnsi="Times New Roman" w:cs="Times New Roman"/>
          <w:sz w:val="18"/>
          <w:szCs w:val="18"/>
        </w:rPr>
        <w:t xml:space="preserve">рокерское обслуживания которого осуществляется на условиях Единого лимита, такой отказ является отказом Клиента от </w:t>
      </w:r>
      <w:r w:rsidR="00CD5411">
        <w:rPr>
          <w:rFonts w:ascii="Times New Roman" w:hAnsi="Times New Roman" w:cs="Times New Roman"/>
          <w:sz w:val="18"/>
          <w:szCs w:val="18"/>
        </w:rPr>
        <w:t>б</w:t>
      </w:r>
      <w:r w:rsidRPr="00015175">
        <w:rPr>
          <w:rFonts w:ascii="Times New Roman" w:hAnsi="Times New Roman" w:cs="Times New Roman"/>
          <w:sz w:val="18"/>
          <w:szCs w:val="18"/>
        </w:rPr>
        <w:t xml:space="preserve">рокерского обслуживания на условиях Единого лимита. В этом случае отказ Клиента от оказания ему </w:t>
      </w:r>
      <w:r w:rsidR="00CD5411">
        <w:rPr>
          <w:rFonts w:ascii="Times New Roman" w:hAnsi="Times New Roman" w:cs="Times New Roman"/>
          <w:sz w:val="18"/>
          <w:szCs w:val="18"/>
        </w:rPr>
        <w:t>б</w:t>
      </w:r>
      <w:r w:rsidRPr="00015175">
        <w:rPr>
          <w:rFonts w:ascii="Times New Roman" w:hAnsi="Times New Roman" w:cs="Times New Roman"/>
          <w:sz w:val="18"/>
          <w:szCs w:val="18"/>
        </w:rPr>
        <w:t xml:space="preserve">рокерского обслуживания на условиях Единого лимита считается заявленным вне зависимости от наличия отдельной отметки о прекращении </w:t>
      </w:r>
      <w:r w:rsidR="00CD5411">
        <w:rPr>
          <w:rFonts w:ascii="Times New Roman" w:hAnsi="Times New Roman" w:cs="Times New Roman"/>
          <w:sz w:val="18"/>
          <w:szCs w:val="18"/>
        </w:rPr>
        <w:t>б</w:t>
      </w:r>
      <w:r w:rsidRPr="00015175">
        <w:rPr>
          <w:rFonts w:ascii="Times New Roman" w:hAnsi="Times New Roman" w:cs="Times New Roman"/>
          <w:sz w:val="18"/>
          <w:szCs w:val="18"/>
        </w:rPr>
        <w:t xml:space="preserve">рокерского обслуживания на условиях Единого лимита в таком Заявлении об изменении условий </w:t>
      </w:r>
      <w:r w:rsidR="00CD5411">
        <w:rPr>
          <w:rFonts w:ascii="Times New Roman" w:hAnsi="Times New Roman" w:cs="Times New Roman"/>
          <w:sz w:val="18"/>
          <w:szCs w:val="18"/>
        </w:rPr>
        <w:t>б</w:t>
      </w:r>
      <w:r w:rsidRPr="00015175">
        <w:rPr>
          <w:rFonts w:ascii="Times New Roman" w:hAnsi="Times New Roman" w:cs="Times New Roman"/>
          <w:sz w:val="18"/>
          <w:szCs w:val="18"/>
        </w:rPr>
        <w:t xml:space="preserve">рокерского обслуживания (Приложение № 1-2 к </w:t>
      </w:r>
      <w:r w:rsidRPr="0047330C">
        <w:rPr>
          <w:rFonts w:ascii="Times New Roman" w:hAnsi="Times New Roman" w:cs="Times New Roman"/>
          <w:sz w:val="18"/>
          <w:szCs w:val="18"/>
        </w:rPr>
        <w:t>Регламент</w:t>
      </w:r>
      <w:r>
        <w:rPr>
          <w:rFonts w:ascii="Times New Roman" w:hAnsi="Times New Roman" w:cs="Times New Roman"/>
          <w:sz w:val="18"/>
          <w:szCs w:val="18"/>
        </w:rPr>
        <w:t>у</w:t>
      </w:r>
      <w:r w:rsidRPr="0047330C">
        <w:rPr>
          <w:rFonts w:ascii="Times New Roman" w:hAnsi="Times New Roman" w:cs="Times New Roman"/>
          <w:sz w:val="18"/>
          <w:szCs w:val="18"/>
        </w:rPr>
        <w:t xml:space="preserve"> </w:t>
      </w:r>
      <w:r>
        <w:rPr>
          <w:rFonts w:ascii="Times New Roman" w:hAnsi="Times New Roman" w:cs="Times New Roman"/>
          <w:sz w:val="18"/>
          <w:szCs w:val="18"/>
        </w:rPr>
        <w:t>брокерского обслуживания АО «ИК «Горизонт»</w:t>
      </w:r>
      <w:r w:rsidRPr="00015175">
        <w:rPr>
          <w:rFonts w:ascii="Times New Roman" w:hAnsi="Times New Roman" w:cs="Times New Roman"/>
          <w:sz w:val="18"/>
          <w:szCs w:val="18"/>
        </w:rPr>
        <w:t>).</w:t>
      </w:r>
    </w:p>
    <w:p w14:paraId="183698DA" w14:textId="46CB367F" w:rsidR="0036291B" w:rsidRPr="00015175" w:rsidRDefault="0036291B" w:rsidP="00015175">
      <w:pPr>
        <w:spacing w:before="120" w:after="120" w:line="240" w:lineRule="auto"/>
        <w:mirrorIndents/>
        <w:jc w:val="both"/>
        <w:rPr>
          <w:rFonts w:ascii="Times New Roman" w:hAnsi="Times New Roman" w:cs="Times New Roman"/>
          <w:sz w:val="18"/>
          <w:szCs w:val="18"/>
        </w:rPr>
      </w:pPr>
      <w:r w:rsidRPr="00015175">
        <w:rPr>
          <w:rFonts w:ascii="Times New Roman" w:hAnsi="Times New Roman" w:cs="Times New Roman"/>
          <w:sz w:val="18"/>
          <w:szCs w:val="18"/>
        </w:rPr>
        <w:lastRenderedPageBreak/>
        <w:t xml:space="preserve">Отказ от предоставления Компании права использования в своих интересах денежных средств Клиента является отказом Клиента от предоставления Компании права использования в своих интересах ценных бумаг Клиента. В этом случае отказ Клиента от предоставления Компании права использования в своих интересах ценных бумаг Клиента считается заявленным вне зависимости от наличия отдельной отметки об отказе от предоставления Компании права использования в своих интересах ценных бумаг Клиента в Заявлении об изменении условий </w:t>
      </w:r>
      <w:r w:rsidR="00CD5411">
        <w:rPr>
          <w:rFonts w:ascii="Times New Roman" w:hAnsi="Times New Roman" w:cs="Times New Roman"/>
          <w:sz w:val="18"/>
          <w:szCs w:val="18"/>
        </w:rPr>
        <w:t>б</w:t>
      </w:r>
      <w:r w:rsidRPr="00015175">
        <w:rPr>
          <w:rFonts w:ascii="Times New Roman" w:hAnsi="Times New Roman" w:cs="Times New Roman"/>
          <w:sz w:val="18"/>
          <w:szCs w:val="18"/>
        </w:rPr>
        <w:t xml:space="preserve">рокерского обслуживания (Приложение № 1-2 к </w:t>
      </w:r>
      <w:r w:rsidRPr="0047330C">
        <w:rPr>
          <w:rFonts w:ascii="Times New Roman" w:hAnsi="Times New Roman" w:cs="Times New Roman"/>
          <w:sz w:val="18"/>
          <w:szCs w:val="18"/>
        </w:rPr>
        <w:t>Регламент</w:t>
      </w:r>
      <w:r>
        <w:rPr>
          <w:rFonts w:ascii="Times New Roman" w:hAnsi="Times New Roman" w:cs="Times New Roman"/>
          <w:sz w:val="18"/>
          <w:szCs w:val="18"/>
        </w:rPr>
        <w:t>у</w:t>
      </w:r>
      <w:r w:rsidRPr="0047330C">
        <w:rPr>
          <w:rFonts w:ascii="Times New Roman" w:hAnsi="Times New Roman" w:cs="Times New Roman"/>
          <w:sz w:val="18"/>
          <w:szCs w:val="18"/>
        </w:rPr>
        <w:t xml:space="preserve"> </w:t>
      </w:r>
      <w:r>
        <w:rPr>
          <w:rFonts w:ascii="Times New Roman" w:hAnsi="Times New Roman" w:cs="Times New Roman"/>
          <w:sz w:val="18"/>
          <w:szCs w:val="18"/>
        </w:rPr>
        <w:t>брокерского обслуживания АО «ИК «Горизонт»</w:t>
      </w:r>
      <w:r w:rsidRPr="00015175">
        <w:rPr>
          <w:rFonts w:ascii="Times New Roman" w:hAnsi="Times New Roman" w:cs="Times New Roman"/>
          <w:sz w:val="18"/>
          <w:szCs w:val="18"/>
        </w:rPr>
        <w:t>).</w:t>
      </w:r>
    </w:p>
    <w:p w14:paraId="3D342C7D" w14:textId="77777777" w:rsidR="00467739" w:rsidRPr="00E85EC1" w:rsidRDefault="00467739" w:rsidP="00E85EC1">
      <w:pPr>
        <w:pStyle w:val="a3"/>
        <w:numPr>
          <w:ilvl w:val="0"/>
          <w:numId w:val="15"/>
        </w:numPr>
        <w:autoSpaceDE w:val="0"/>
        <w:autoSpaceDN w:val="0"/>
        <w:adjustRightInd w:val="0"/>
        <w:spacing w:before="120" w:after="120" w:line="240" w:lineRule="auto"/>
        <w:mirrorIndents/>
        <w:jc w:val="both"/>
        <w:rPr>
          <w:rFonts w:ascii="Times New Roman" w:eastAsia="MS Gothic" w:hAnsi="Times New Roman" w:cs="Times New Roman"/>
          <w:b/>
          <w:sz w:val="20"/>
          <w:szCs w:val="20"/>
        </w:rPr>
      </w:pPr>
      <w:r w:rsidRPr="00E85EC1">
        <w:rPr>
          <w:rFonts w:ascii="Times New Roman" w:eastAsia="MS Gothic" w:hAnsi="Times New Roman" w:cs="Times New Roman"/>
          <w:b/>
          <w:sz w:val="20"/>
          <w:szCs w:val="20"/>
        </w:rPr>
        <w:t>Уведомление о запрете на осуществлении действий, относящихся к манипулированию рынком, и ограничениях на использование инсайдерской информации и манипулирование рынком</w:t>
      </w:r>
    </w:p>
    <w:p w14:paraId="159B8796" w14:textId="77777777" w:rsidR="00467739" w:rsidRPr="00E85EC1" w:rsidRDefault="00467739" w:rsidP="00467739">
      <w:pPr>
        <w:tabs>
          <w:tab w:val="left" w:pos="1134"/>
        </w:tabs>
        <w:spacing w:before="120" w:after="120" w:line="240" w:lineRule="auto"/>
        <w:mirrorIndents/>
        <w:jc w:val="both"/>
        <w:rPr>
          <w:rFonts w:ascii="Times New Roman" w:hAnsi="Times New Roman" w:cs="Times New Roman"/>
          <w:sz w:val="18"/>
          <w:szCs w:val="18"/>
        </w:rPr>
      </w:pPr>
      <w:r w:rsidRPr="00E85EC1">
        <w:rPr>
          <w:rFonts w:ascii="Times New Roman" w:hAnsi="Times New Roman" w:cs="Times New Roman"/>
          <w:sz w:val="18"/>
          <w:szCs w:val="18"/>
        </w:rPr>
        <w:t>Компания уведомляет Клиента, что в соответствии с положениями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от 27.07.2010 № 224-ФЗ (далее по тексту настоящего раздела – Закон):</w:t>
      </w:r>
    </w:p>
    <w:p w14:paraId="0AAD469C" w14:textId="77777777" w:rsidR="00467739" w:rsidRPr="00E85EC1" w:rsidRDefault="00467739" w:rsidP="00467739">
      <w:pPr>
        <w:tabs>
          <w:tab w:val="left" w:pos="322"/>
        </w:tabs>
        <w:spacing w:before="120" w:after="120" w:line="240" w:lineRule="auto"/>
        <w:mirrorIndents/>
        <w:jc w:val="both"/>
        <w:rPr>
          <w:rFonts w:ascii="Times New Roman" w:hAnsi="Times New Roman" w:cs="Times New Roman"/>
          <w:sz w:val="18"/>
          <w:szCs w:val="18"/>
        </w:rPr>
      </w:pPr>
      <w:r w:rsidRPr="00E85EC1">
        <w:rPr>
          <w:rFonts w:ascii="Times New Roman" w:hAnsi="Times New Roman" w:cs="Times New Roman"/>
          <w:sz w:val="18"/>
          <w:szCs w:val="18"/>
        </w:rPr>
        <w:t>1.</w:t>
      </w:r>
      <w:r w:rsidRPr="00E85EC1">
        <w:rPr>
          <w:rFonts w:ascii="Times New Roman" w:hAnsi="Times New Roman" w:cs="Times New Roman"/>
          <w:sz w:val="18"/>
          <w:szCs w:val="18"/>
        </w:rPr>
        <w:tab/>
        <w:t>запрещается использование инсайдерской информации:</w:t>
      </w:r>
    </w:p>
    <w:p w14:paraId="347A7C3B"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для осуществления операций с финансовыми инструментами, иностранной валютой и (или) товарами, которых касается инсайдерская информация, за свой счет или за счет третьего лица, за исключением совершения операций в рамках исполнения обязательства по покупке или продаже финансовых инструментов, иностранной валюты и (или) товаров,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w:t>
      </w:r>
    </w:p>
    <w:p w14:paraId="59FCA7B1"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путем передачи ее другому лицу, за исключением случаев передачи этой информации лицу, включенному в список инсайдеров, в связи с исполнением обязанностей, установленных федеральными законами, либо в связи с исполнением трудовых обязанностей или исполнением договора;</w:t>
      </w:r>
    </w:p>
    <w:p w14:paraId="4CBA1D59"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w:t>
      </w:r>
    </w:p>
    <w:p w14:paraId="1B04B654" w14:textId="77777777" w:rsidR="00467739" w:rsidRPr="00E85EC1" w:rsidRDefault="00467739" w:rsidP="00467739">
      <w:pPr>
        <w:tabs>
          <w:tab w:val="left" w:pos="322"/>
        </w:tabs>
        <w:spacing w:before="120" w:after="120" w:line="240" w:lineRule="auto"/>
        <w:mirrorIndents/>
        <w:jc w:val="both"/>
        <w:rPr>
          <w:rFonts w:ascii="Times New Roman" w:hAnsi="Times New Roman" w:cs="Times New Roman"/>
          <w:sz w:val="18"/>
          <w:szCs w:val="18"/>
        </w:rPr>
      </w:pPr>
      <w:r w:rsidRPr="00E85EC1">
        <w:rPr>
          <w:rFonts w:ascii="Times New Roman" w:hAnsi="Times New Roman" w:cs="Times New Roman"/>
          <w:sz w:val="18"/>
          <w:szCs w:val="18"/>
        </w:rPr>
        <w:t>2.</w:t>
      </w:r>
      <w:r w:rsidRPr="00E85EC1">
        <w:rPr>
          <w:rFonts w:ascii="Times New Roman" w:hAnsi="Times New Roman" w:cs="Times New Roman"/>
          <w:sz w:val="18"/>
          <w:szCs w:val="18"/>
        </w:rPr>
        <w:tab/>
        <w:t>запрещается осуществлять действия, относящиеся в соответствии с Законом к манипулированию рынком.</w:t>
      </w:r>
    </w:p>
    <w:p w14:paraId="1ED36393" w14:textId="77777777" w:rsidR="00467739" w:rsidRPr="00E85EC1" w:rsidRDefault="00467739" w:rsidP="00467739">
      <w:pPr>
        <w:tabs>
          <w:tab w:val="left" w:pos="1134"/>
        </w:tabs>
        <w:spacing w:before="120" w:after="120" w:line="240" w:lineRule="auto"/>
        <w:mirrorIndents/>
        <w:jc w:val="both"/>
        <w:rPr>
          <w:rFonts w:ascii="Times New Roman" w:hAnsi="Times New Roman" w:cs="Times New Roman"/>
          <w:sz w:val="18"/>
          <w:szCs w:val="18"/>
        </w:rPr>
      </w:pPr>
      <w:r w:rsidRPr="00E85EC1">
        <w:rPr>
          <w:rFonts w:ascii="Times New Roman" w:hAnsi="Times New Roman" w:cs="Times New Roman"/>
          <w:sz w:val="18"/>
          <w:szCs w:val="18"/>
        </w:rPr>
        <w:t>В целях соблюдения установленных законодательством требований, направленных на противодействие манипулированию рынком и неправомерному использованию инсайдерской информации Клиент уведомляется:</w:t>
      </w:r>
    </w:p>
    <w:p w14:paraId="2E9FB494"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о недопустимости подачи поручений на совершение сделок, которые могут содержать признаки действий, относимых законодательством к манипулированию рынком, а также поручений с использованием инсайдерской информации;</w:t>
      </w:r>
    </w:p>
    <w:p w14:paraId="3FDF51C1"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о необходимости уведомлять Компанию о получении доступа к инсайдерской информации (и/или непосредственно инсайдерской информации), о возникновении обстоятельств, в результате которых Клиент должен быть включен или исключен из списка инсайдеров Компании, а также о фактическом включении или исключении из списка инсайдеров третьих лиц;</w:t>
      </w:r>
    </w:p>
    <w:p w14:paraId="75503798"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о необходимости обеспечивать наличие в сведениях и документах, передаваемых Компании, прямого указания на то, что данные сведения или документы являются инсайдерскими или содержат инсайдерскую информацию;</w:t>
      </w:r>
    </w:p>
    <w:p w14:paraId="2171C44C" w14:textId="77777777" w:rsidR="00467739" w:rsidRPr="00E85EC1" w:rsidRDefault="00467739" w:rsidP="00467739">
      <w:pPr>
        <w:numPr>
          <w:ilvl w:val="0"/>
          <w:numId w:val="14"/>
        </w:numPr>
        <w:tabs>
          <w:tab w:val="clear" w:pos="720"/>
          <w:tab w:val="num" w:pos="318"/>
        </w:tabs>
        <w:spacing w:before="120" w:after="120" w:line="240" w:lineRule="auto"/>
        <w:ind w:left="318" w:hanging="318"/>
        <w:mirrorIndents/>
        <w:jc w:val="both"/>
        <w:rPr>
          <w:rFonts w:ascii="Times New Roman" w:eastAsia="MS Gothic" w:hAnsi="Times New Roman" w:cs="Times New Roman"/>
          <w:sz w:val="18"/>
          <w:szCs w:val="18"/>
        </w:rPr>
      </w:pPr>
      <w:r w:rsidRPr="00E85EC1">
        <w:rPr>
          <w:rFonts w:ascii="Times New Roman" w:eastAsia="MS Gothic" w:hAnsi="Times New Roman" w:cs="Times New Roman"/>
          <w:sz w:val="18"/>
          <w:szCs w:val="18"/>
        </w:rPr>
        <w:t>о личной ответственности Клиента, в том числе административной и уголовной, за совершенную Компанией операцию в интересах Клиента, сопровождающуюся неправомерным использованием инсайдерской информации и (или) являющуюся манипулированием рынком, если указанная операция совершена по поручению (распоряжению) Клиента.</w:t>
      </w:r>
    </w:p>
    <w:p w14:paraId="248457AD" w14:textId="77777777" w:rsidR="00467739" w:rsidRPr="00E85EC1" w:rsidRDefault="00467739" w:rsidP="00467739">
      <w:pPr>
        <w:tabs>
          <w:tab w:val="left" w:pos="1134"/>
        </w:tabs>
        <w:spacing w:before="120" w:after="120" w:line="240" w:lineRule="auto"/>
        <w:mirrorIndents/>
        <w:jc w:val="both"/>
        <w:rPr>
          <w:rFonts w:ascii="Times New Roman" w:hAnsi="Times New Roman" w:cs="Times New Roman"/>
          <w:sz w:val="18"/>
          <w:szCs w:val="18"/>
        </w:rPr>
      </w:pPr>
      <w:r w:rsidRPr="00E85EC1">
        <w:rPr>
          <w:rFonts w:ascii="Times New Roman" w:hAnsi="Times New Roman" w:cs="Times New Roman"/>
          <w:sz w:val="18"/>
          <w:szCs w:val="18"/>
        </w:rPr>
        <w:t>Компания вправе по своему усмотрению проводить проверку любой сделки или операции Клиента, в отношении которой у Компании есть основания полагать, что данная сделка или операция направлена на манипулирование рынком или совершена с использованием инсайдерской информации. В целях недопущения и выявления сделок и операций, направленных на манипулирование рынком или использование инсайдерской информации, в том числе при проведении указанной проверки, Компания вправе запросить у Клиента, а Клиент обязан предоставить в течение 5 рабочих дней письменные разъяснения, документы и любые другие сведения, запрашиваемые Компанией. Компания вправе направить информацию о факте проведения и результатах такой проверки организатору торговли, в Банк России или иной уполномоченный орган государственной власти.</w:t>
      </w:r>
    </w:p>
    <w:p w14:paraId="042446F1" w14:textId="77777777" w:rsidR="00467739" w:rsidRPr="00E85EC1" w:rsidRDefault="00467739" w:rsidP="00E85EC1">
      <w:pPr>
        <w:pStyle w:val="a3"/>
        <w:numPr>
          <w:ilvl w:val="0"/>
          <w:numId w:val="15"/>
        </w:numPr>
        <w:autoSpaceDE w:val="0"/>
        <w:autoSpaceDN w:val="0"/>
        <w:adjustRightInd w:val="0"/>
        <w:spacing w:before="120" w:after="120" w:line="240" w:lineRule="auto"/>
        <w:mirrorIndents/>
        <w:jc w:val="both"/>
        <w:rPr>
          <w:rFonts w:ascii="Times New Roman" w:eastAsia="MS Gothic" w:hAnsi="Times New Roman" w:cs="Times New Roman"/>
          <w:b/>
          <w:sz w:val="20"/>
          <w:szCs w:val="20"/>
        </w:rPr>
      </w:pPr>
      <w:r w:rsidRPr="00E85EC1">
        <w:rPr>
          <w:rFonts w:ascii="Times New Roman" w:eastAsia="MS Gothic" w:hAnsi="Times New Roman" w:cs="Times New Roman"/>
          <w:b/>
          <w:sz w:val="20"/>
          <w:szCs w:val="20"/>
        </w:rPr>
        <w:t>Уведомление физического лица – получателя финансовых услуг о наличии информационных документов</w:t>
      </w:r>
    </w:p>
    <w:p w14:paraId="6C85CC45" w14:textId="49D8D701" w:rsidR="00CD5411" w:rsidRDefault="00806DEE" w:rsidP="00561A24">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 xml:space="preserve">Компания уведомляет Клиента-физического лица, что на странице Компании в </w:t>
      </w:r>
      <w:r w:rsidR="00CD5411">
        <w:rPr>
          <w:rFonts w:ascii="Times New Roman" w:hAnsi="Times New Roman" w:cs="Times New Roman"/>
          <w:sz w:val="18"/>
          <w:szCs w:val="18"/>
        </w:rPr>
        <w:t xml:space="preserve">информационно-телекоммуникационной </w:t>
      </w:r>
      <w:r w:rsidRPr="00E85EC1">
        <w:rPr>
          <w:rFonts w:ascii="Times New Roman" w:hAnsi="Times New Roman" w:cs="Times New Roman"/>
          <w:sz w:val="18"/>
          <w:szCs w:val="18"/>
        </w:rPr>
        <w:t xml:space="preserve">сети «Интернет» по адресу </w:t>
      </w:r>
      <w:hyperlink r:id="rId8" w:history="1">
        <w:r w:rsidR="00CD5411" w:rsidRPr="00D0558D">
          <w:rPr>
            <w:rStyle w:val="ab"/>
            <w:rFonts w:ascii="Times New Roman" w:eastAsia="MS Gothic" w:hAnsi="Times New Roman"/>
            <w:sz w:val="16"/>
            <w:szCs w:val="16"/>
          </w:rPr>
          <w:t>https://www.ikhorizon.ru</w:t>
        </w:r>
      </w:hyperlink>
      <w:r w:rsidR="00CD5411">
        <w:rPr>
          <w:rFonts w:ascii="Times New Roman" w:eastAsia="MS Gothic" w:hAnsi="Times New Roman"/>
          <w:sz w:val="16"/>
          <w:szCs w:val="16"/>
        </w:rPr>
        <w:t xml:space="preserve"> </w:t>
      </w:r>
      <w:r w:rsidRPr="00E85EC1">
        <w:rPr>
          <w:rFonts w:ascii="Times New Roman" w:hAnsi="Times New Roman" w:cs="Times New Roman"/>
          <w:sz w:val="18"/>
          <w:szCs w:val="18"/>
        </w:rPr>
        <w:t>размещены информационные документы в отношении</w:t>
      </w:r>
    </w:p>
    <w:p w14:paraId="07969C57" w14:textId="5A6FCD0A" w:rsidR="00CD5411" w:rsidRPr="00E85EC1" w:rsidRDefault="00806DEE" w:rsidP="00561A24">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lastRenderedPageBreak/>
        <w:t>обыкновенных акций российских акционерных обществ, привилегированных акций российских акционерных обществах и фьючерсных договоров (контрактов), обыкновенных облигаций российских эмитентов (под обыкновенной облигацией понимается облигация, не являющаяся структурной облигацией, облигацией со структурным доходом, субординированной облигацией, облигацией без срока погашения, конвертируемой облигацией, коммерческой облигацией, облигацией федерального займа для физических лиц (ОФЗ-н), замещающей облигацией (облигацией, предусмотренной ст. 6 Федерального закона от 14.07.2022 № 319-ФЗ «О внесении изменений в отдельные законодательные акты Российской Федерации»), облигацией с залоговым обеспечением денежными требованиями), облигаций федерального займа для физических лиц (ОФЗ-н), иностранных депозитарных расписок на акции</w:t>
      </w:r>
      <w:r w:rsidR="00CD5411">
        <w:rPr>
          <w:rFonts w:ascii="Times New Roman" w:hAnsi="Times New Roman" w:cs="Times New Roman"/>
          <w:sz w:val="18"/>
          <w:szCs w:val="18"/>
        </w:rPr>
        <w:t xml:space="preserve">, </w:t>
      </w:r>
      <w:r w:rsidR="00CD5411" w:rsidRPr="00CD5411">
        <w:rPr>
          <w:rFonts w:ascii="Times New Roman" w:hAnsi="Times New Roman" w:cs="Times New Roman"/>
          <w:sz w:val="18"/>
          <w:szCs w:val="18"/>
        </w:rPr>
        <w:t>субординированных облигаций российских эмитентов, структурных облигаций российских эмитентов, облигаций российских эмитентов со структурным доходом, опционных договоров, инвестиционных паев паевых инвестиционных фондов (кроме биржевых паевых инвестиционных фондов), инвестиционных паев российских биржевых паевых инвестиционных фондов, акций (паев) ETF.</w:t>
      </w:r>
    </w:p>
    <w:p w14:paraId="08DED0FA" w14:textId="61C8CA0C" w:rsidR="00C1435F" w:rsidRPr="00E85EC1" w:rsidRDefault="00467739" w:rsidP="00561A24">
      <w:pPr>
        <w:autoSpaceDE w:val="0"/>
        <w:autoSpaceDN w:val="0"/>
        <w:adjustRightInd w:val="0"/>
        <w:spacing w:after="120" w:line="240" w:lineRule="auto"/>
        <w:jc w:val="both"/>
        <w:rPr>
          <w:rFonts w:ascii="Times New Roman" w:hAnsi="Times New Roman" w:cs="Times New Roman"/>
          <w:sz w:val="18"/>
          <w:szCs w:val="18"/>
        </w:rPr>
      </w:pPr>
      <w:r w:rsidRPr="00E85EC1">
        <w:rPr>
          <w:rFonts w:ascii="Times New Roman" w:hAnsi="Times New Roman" w:cs="Times New Roman"/>
          <w:sz w:val="18"/>
          <w:szCs w:val="18"/>
        </w:rPr>
        <w:t>Компания рекомендует ознакомиться с указанными информационными документами до начала подачи поручений.</w:t>
      </w:r>
    </w:p>
    <w:sectPr w:rsidR="00C1435F" w:rsidRPr="00E85EC1" w:rsidSect="00481756">
      <w:pgSz w:w="11906" w:h="16838" w:code="9"/>
      <w:pgMar w:top="1134" w:right="851" w:bottom="993" w:left="1701" w:header="42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ED179" w14:textId="77777777" w:rsidR="00895B4B" w:rsidRDefault="00895B4B" w:rsidP="00B55F87">
      <w:pPr>
        <w:spacing w:after="0" w:line="240" w:lineRule="auto"/>
      </w:pPr>
      <w:r>
        <w:separator/>
      </w:r>
    </w:p>
  </w:endnote>
  <w:endnote w:type="continuationSeparator" w:id="0">
    <w:p w14:paraId="61E1A144" w14:textId="77777777" w:rsidR="00895B4B" w:rsidRDefault="00895B4B" w:rsidP="00B5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4986B" w14:textId="77777777" w:rsidR="00895B4B" w:rsidRDefault="00895B4B" w:rsidP="00B55F87">
      <w:pPr>
        <w:spacing w:after="0" w:line="240" w:lineRule="auto"/>
      </w:pPr>
      <w:r>
        <w:separator/>
      </w:r>
    </w:p>
  </w:footnote>
  <w:footnote w:type="continuationSeparator" w:id="0">
    <w:p w14:paraId="6F3BDC9D" w14:textId="77777777" w:rsidR="00895B4B" w:rsidRDefault="00895B4B" w:rsidP="00B55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548AF"/>
    <w:multiLevelType w:val="hybridMultilevel"/>
    <w:tmpl w:val="2402D77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95E5C03"/>
    <w:multiLevelType w:val="hybridMultilevel"/>
    <w:tmpl w:val="2E364876"/>
    <w:lvl w:ilvl="0" w:tplc="6504E0A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431535"/>
    <w:multiLevelType w:val="hybridMultilevel"/>
    <w:tmpl w:val="B0BA59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C870A7"/>
    <w:multiLevelType w:val="hybridMultilevel"/>
    <w:tmpl w:val="8598B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9A3AA1"/>
    <w:multiLevelType w:val="hybridMultilevel"/>
    <w:tmpl w:val="3B2A0BB6"/>
    <w:lvl w:ilvl="0" w:tplc="BA7805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4468D9"/>
    <w:multiLevelType w:val="hybridMultilevel"/>
    <w:tmpl w:val="5B1E0F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421FA2"/>
    <w:multiLevelType w:val="hybridMultilevel"/>
    <w:tmpl w:val="B132583A"/>
    <w:lvl w:ilvl="0" w:tplc="1DEA14F6">
      <w:start w:val="1"/>
      <w:numFmt w:val="decimal"/>
      <w:lvlText w:val="%1."/>
      <w:lvlJc w:val="left"/>
      <w:pPr>
        <w:ind w:left="394" w:hanging="360"/>
      </w:pPr>
      <w:rPr>
        <w:rFonts w:hint="default"/>
        <w:b w:val="0"/>
        <w:sz w:val="16"/>
        <w:szCs w:val="16"/>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439F7926"/>
    <w:multiLevelType w:val="hybridMultilevel"/>
    <w:tmpl w:val="2E364876"/>
    <w:lvl w:ilvl="0" w:tplc="6504E0A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97174A"/>
    <w:multiLevelType w:val="hybridMultilevel"/>
    <w:tmpl w:val="576E89EA"/>
    <w:lvl w:ilvl="0" w:tplc="863C1F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B66DA9"/>
    <w:multiLevelType w:val="hybridMultilevel"/>
    <w:tmpl w:val="6E4E2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603D2B"/>
    <w:multiLevelType w:val="hybridMultilevel"/>
    <w:tmpl w:val="2E364876"/>
    <w:lvl w:ilvl="0" w:tplc="6504E0A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C21DDF"/>
    <w:multiLevelType w:val="hybridMultilevel"/>
    <w:tmpl w:val="B71AE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7022BC"/>
    <w:multiLevelType w:val="hybridMultilevel"/>
    <w:tmpl w:val="1AF6D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EA6D20"/>
    <w:multiLevelType w:val="multilevel"/>
    <w:tmpl w:val="D7FEA758"/>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F7C485C"/>
    <w:multiLevelType w:val="hybridMultilevel"/>
    <w:tmpl w:val="E5BA9AC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FB19A6"/>
    <w:multiLevelType w:val="hybridMultilevel"/>
    <w:tmpl w:val="9E70A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6A706B"/>
    <w:multiLevelType w:val="hybridMultilevel"/>
    <w:tmpl w:val="7B3E5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9"/>
  </w:num>
  <w:num w:numId="5">
    <w:abstractNumId w:val="3"/>
  </w:num>
  <w:num w:numId="6">
    <w:abstractNumId w:val="11"/>
  </w:num>
  <w:num w:numId="7">
    <w:abstractNumId w:val="5"/>
  </w:num>
  <w:num w:numId="8">
    <w:abstractNumId w:val="14"/>
  </w:num>
  <w:num w:numId="9">
    <w:abstractNumId w:val="16"/>
  </w:num>
  <w:num w:numId="10">
    <w:abstractNumId w:val="12"/>
  </w:num>
  <w:num w:numId="11">
    <w:abstractNumId w:val="15"/>
  </w:num>
  <w:num w:numId="12">
    <w:abstractNumId w:val="10"/>
  </w:num>
  <w:num w:numId="13">
    <w:abstractNumId w:val="6"/>
  </w:num>
  <w:num w:numId="14">
    <w:abstractNumId w:val="0"/>
  </w:num>
  <w:num w:numId="15">
    <w:abstractNumId w:val="8"/>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trackRevisions/>
  <w:defaultTabStop w:val="708"/>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B7"/>
    <w:rsid w:val="000022A3"/>
    <w:rsid w:val="00002860"/>
    <w:rsid w:val="00011345"/>
    <w:rsid w:val="0001149D"/>
    <w:rsid w:val="00015175"/>
    <w:rsid w:val="00032D8D"/>
    <w:rsid w:val="000A4428"/>
    <w:rsid w:val="000D633C"/>
    <w:rsid w:val="00114C46"/>
    <w:rsid w:val="0011706A"/>
    <w:rsid w:val="001936C6"/>
    <w:rsid w:val="00196CAE"/>
    <w:rsid w:val="001D2404"/>
    <w:rsid w:val="001E3FDE"/>
    <w:rsid w:val="002D0BB7"/>
    <w:rsid w:val="00301AB7"/>
    <w:rsid w:val="00323E30"/>
    <w:rsid w:val="0036291B"/>
    <w:rsid w:val="0036478D"/>
    <w:rsid w:val="00370C69"/>
    <w:rsid w:val="003B7742"/>
    <w:rsid w:val="003F3A49"/>
    <w:rsid w:val="0040768D"/>
    <w:rsid w:val="00415599"/>
    <w:rsid w:val="00467739"/>
    <w:rsid w:val="00481756"/>
    <w:rsid w:val="0049717B"/>
    <w:rsid w:val="004B6FC1"/>
    <w:rsid w:val="00535FA1"/>
    <w:rsid w:val="00543B39"/>
    <w:rsid w:val="00555E7C"/>
    <w:rsid w:val="00561A24"/>
    <w:rsid w:val="0057117E"/>
    <w:rsid w:val="005E3000"/>
    <w:rsid w:val="00605879"/>
    <w:rsid w:val="00624CEF"/>
    <w:rsid w:val="00687BDA"/>
    <w:rsid w:val="006A1538"/>
    <w:rsid w:val="006F6517"/>
    <w:rsid w:val="00762C07"/>
    <w:rsid w:val="00776635"/>
    <w:rsid w:val="00784068"/>
    <w:rsid w:val="00797C26"/>
    <w:rsid w:val="007A1D4D"/>
    <w:rsid w:val="007F15AC"/>
    <w:rsid w:val="00806DEE"/>
    <w:rsid w:val="00807A7A"/>
    <w:rsid w:val="00850BE0"/>
    <w:rsid w:val="00883B36"/>
    <w:rsid w:val="00895B4B"/>
    <w:rsid w:val="008B5427"/>
    <w:rsid w:val="008C72FB"/>
    <w:rsid w:val="00902A94"/>
    <w:rsid w:val="0090551B"/>
    <w:rsid w:val="009A0E89"/>
    <w:rsid w:val="00A52F76"/>
    <w:rsid w:val="00A64AFC"/>
    <w:rsid w:val="00A754E0"/>
    <w:rsid w:val="00A90B65"/>
    <w:rsid w:val="00A93703"/>
    <w:rsid w:val="00A97CA0"/>
    <w:rsid w:val="00B55F87"/>
    <w:rsid w:val="00B90565"/>
    <w:rsid w:val="00BA68D4"/>
    <w:rsid w:val="00BB27A9"/>
    <w:rsid w:val="00BE1AC9"/>
    <w:rsid w:val="00C1435F"/>
    <w:rsid w:val="00C149E9"/>
    <w:rsid w:val="00C21651"/>
    <w:rsid w:val="00C31B55"/>
    <w:rsid w:val="00CD5411"/>
    <w:rsid w:val="00CD72D7"/>
    <w:rsid w:val="00CF02BA"/>
    <w:rsid w:val="00CF7660"/>
    <w:rsid w:val="00D02922"/>
    <w:rsid w:val="00D525B5"/>
    <w:rsid w:val="00DB1359"/>
    <w:rsid w:val="00DC2F7D"/>
    <w:rsid w:val="00DE0E5B"/>
    <w:rsid w:val="00E06CA5"/>
    <w:rsid w:val="00E57CAC"/>
    <w:rsid w:val="00E70936"/>
    <w:rsid w:val="00E73DB0"/>
    <w:rsid w:val="00E85EC1"/>
    <w:rsid w:val="00EA1DB7"/>
    <w:rsid w:val="00EF2511"/>
    <w:rsid w:val="00EF3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B2AE"/>
  <w15:chartTrackingRefBased/>
  <w15:docId w15:val="{C1866E03-F751-4A1B-BFDD-A71600D4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2BA"/>
    <w:pPr>
      <w:ind w:left="720"/>
      <w:contextualSpacing/>
    </w:pPr>
  </w:style>
  <w:style w:type="paragraph" w:styleId="a4">
    <w:name w:val="Balloon Text"/>
    <w:basedOn w:val="a"/>
    <w:link w:val="a5"/>
    <w:uiPriority w:val="99"/>
    <w:semiHidden/>
    <w:unhideWhenUsed/>
    <w:rsid w:val="000022A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022A3"/>
    <w:rPr>
      <w:rFonts w:ascii="Segoe UI" w:hAnsi="Segoe UI" w:cs="Segoe UI"/>
      <w:sz w:val="18"/>
      <w:szCs w:val="18"/>
    </w:rPr>
  </w:style>
  <w:style w:type="character" w:styleId="a6">
    <w:name w:val="annotation reference"/>
    <w:basedOn w:val="a0"/>
    <w:uiPriority w:val="99"/>
    <w:semiHidden/>
    <w:unhideWhenUsed/>
    <w:rsid w:val="00A64AFC"/>
    <w:rPr>
      <w:sz w:val="16"/>
      <w:szCs w:val="16"/>
    </w:rPr>
  </w:style>
  <w:style w:type="paragraph" w:styleId="a7">
    <w:name w:val="annotation text"/>
    <w:basedOn w:val="a"/>
    <w:link w:val="a8"/>
    <w:uiPriority w:val="99"/>
    <w:semiHidden/>
    <w:unhideWhenUsed/>
    <w:rsid w:val="00A64AFC"/>
    <w:pPr>
      <w:spacing w:line="240" w:lineRule="auto"/>
    </w:pPr>
    <w:rPr>
      <w:sz w:val="20"/>
      <w:szCs w:val="20"/>
    </w:rPr>
  </w:style>
  <w:style w:type="character" w:customStyle="1" w:styleId="a8">
    <w:name w:val="Текст примечания Знак"/>
    <w:basedOn w:val="a0"/>
    <w:link w:val="a7"/>
    <w:uiPriority w:val="99"/>
    <w:semiHidden/>
    <w:rsid w:val="00A64AFC"/>
    <w:rPr>
      <w:sz w:val="20"/>
      <w:szCs w:val="20"/>
    </w:rPr>
  </w:style>
  <w:style w:type="paragraph" w:styleId="a9">
    <w:name w:val="annotation subject"/>
    <w:basedOn w:val="a7"/>
    <w:next w:val="a7"/>
    <w:link w:val="aa"/>
    <w:uiPriority w:val="99"/>
    <w:semiHidden/>
    <w:unhideWhenUsed/>
    <w:rsid w:val="00A64AFC"/>
    <w:rPr>
      <w:b/>
      <w:bCs/>
    </w:rPr>
  </w:style>
  <w:style w:type="character" w:customStyle="1" w:styleId="aa">
    <w:name w:val="Тема примечания Знак"/>
    <w:basedOn w:val="a8"/>
    <w:link w:val="a9"/>
    <w:uiPriority w:val="99"/>
    <w:semiHidden/>
    <w:rsid w:val="00A64AFC"/>
    <w:rPr>
      <w:b/>
      <w:bCs/>
      <w:sz w:val="20"/>
      <w:szCs w:val="20"/>
    </w:rPr>
  </w:style>
  <w:style w:type="character" w:styleId="ab">
    <w:name w:val="Hyperlink"/>
    <w:basedOn w:val="a0"/>
    <w:uiPriority w:val="99"/>
    <w:unhideWhenUsed/>
    <w:rsid w:val="00467739"/>
    <w:rPr>
      <w:color w:val="0563C1" w:themeColor="hyperlink"/>
      <w:u w:val="single"/>
    </w:rPr>
  </w:style>
  <w:style w:type="paragraph" w:styleId="ac">
    <w:name w:val="header"/>
    <w:basedOn w:val="a"/>
    <w:link w:val="ad"/>
    <w:rsid w:val="00C149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rsid w:val="00C149E9"/>
    <w:rPr>
      <w:rFonts w:ascii="Times New Roman" w:eastAsia="Times New Roman" w:hAnsi="Times New Roman" w:cs="Times New Roman"/>
      <w:sz w:val="24"/>
      <w:szCs w:val="24"/>
    </w:rPr>
  </w:style>
  <w:style w:type="character" w:styleId="ae">
    <w:name w:val="Unresolved Mention"/>
    <w:basedOn w:val="a0"/>
    <w:uiPriority w:val="99"/>
    <w:semiHidden/>
    <w:unhideWhenUsed/>
    <w:rsid w:val="003B7742"/>
    <w:rPr>
      <w:color w:val="605E5C"/>
      <w:shd w:val="clear" w:color="auto" w:fill="E1DFDD"/>
    </w:rPr>
  </w:style>
  <w:style w:type="paragraph" w:styleId="af">
    <w:name w:val="footer"/>
    <w:basedOn w:val="a"/>
    <w:link w:val="af0"/>
    <w:uiPriority w:val="99"/>
    <w:unhideWhenUsed/>
    <w:rsid w:val="00B55F8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55F87"/>
  </w:style>
  <w:style w:type="table" w:styleId="af1">
    <w:name w:val="Table Grid"/>
    <w:basedOn w:val="a1"/>
    <w:uiPriority w:val="39"/>
    <w:rsid w:val="00B5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horiz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42E99-C6A0-4271-B639-8884B28A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8985</Words>
  <Characters>51218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Рыженко Денис Анатольевич</dc:creator>
  <cp:keywords/>
  <dc:description/>
  <cp:lastModifiedBy>Фалин Алексей Иванович</cp:lastModifiedBy>
  <cp:revision>2</cp:revision>
  <dcterms:created xsi:type="dcterms:W3CDTF">2025-10-02T08:34:00Z</dcterms:created>
  <dcterms:modified xsi:type="dcterms:W3CDTF">2025-10-20T12:20:00Z</dcterms:modified>
</cp:coreProperties>
</file>