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pPr w:leftFromText="180" w:rightFromText="180" w:vertAnchor="text" w:horzAnchor="margin" w:tblpY="-4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55F87" w:rsidRPr="00807A7A" w14:paraId="7C322517" w14:textId="77777777" w:rsidTr="00E85EC1">
        <w:tc>
          <w:tcPr>
            <w:tcW w:w="4672" w:type="dxa"/>
          </w:tcPr>
          <w:p w14:paraId="24D23309" w14:textId="78731696" w:rsidR="00B55F87" w:rsidRPr="00E85EC1" w:rsidRDefault="00B55F87" w:rsidP="00B55F87">
            <w:pPr>
              <w:rPr>
                <w:rFonts w:ascii="Times New Roman" w:hAnsi="Times New Roman" w:cs="Times New Roman"/>
                <w:b/>
                <w:sz w:val="18"/>
                <w:szCs w:val="18"/>
              </w:rPr>
            </w:pPr>
          </w:p>
        </w:tc>
        <w:tc>
          <w:tcPr>
            <w:tcW w:w="4672" w:type="dxa"/>
          </w:tcPr>
          <w:p w14:paraId="2EFCA6EE" w14:textId="4F667792" w:rsidR="00B55F87" w:rsidRPr="00E85EC1" w:rsidRDefault="00B55F87" w:rsidP="00B55F87">
            <w:pPr>
              <w:pStyle w:val="ac"/>
              <w:jc w:val="right"/>
              <w:rPr>
                <w:sz w:val="16"/>
                <w:szCs w:val="16"/>
              </w:rPr>
            </w:pPr>
            <w:r w:rsidRPr="00E85EC1">
              <w:rPr>
                <w:sz w:val="16"/>
                <w:szCs w:val="16"/>
              </w:rPr>
              <w:t>Приложение № 2.5</w:t>
            </w:r>
          </w:p>
          <w:p w14:paraId="2D9CB6F4" w14:textId="77777777" w:rsidR="00B55F87" w:rsidRPr="00E85EC1" w:rsidRDefault="00B55F87" w:rsidP="00B55F87">
            <w:pPr>
              <w:pStyle w:val="ac"/>
              <w:jc w:val="right"/>
              <w:rPr>
                <w:sz w:val="16"/>
                <w:szCs w:val="16"/>
              </w:rPr>
            </w:pPr>
            <w:r w:rsidRPr="00E85EC1">
              <w:rPr>
                <w:sz w:val="16"/>
                <w:szCs w:val="16"/>
              </w:rPr>
              <w:t>к Регламенту брокерского обслуживания</w:t>
            </w:r>
          </w:p>
          <w:p w14:paraId="702374D9" w14:textId="544F1BC2" w:rsidR="00B55F87" w:rsidRPr="00E85EC1" w:rsidRDefault="00D525B5" w:rsidP="00B55F87">
            <w:pPr>
              <w:pStyle w:val="ac"/>
              <w:jc w:val="right"/>
              <w:rPr>
                <w:sz w:val="16"/>
                <w:szCs w:val="16"/>
              </w:rPr>
            </w:pPr>
            <w:r>
              <w:rPr>
                <w:sz w:val="16"/>
                <w:szCs w:val="16"/>
              </w:rPr>
              <w:t>А</w:t>
            </w:r>
            <w:r w:rsidR="00B55F87" w:rsidRPr="00E85EC1">
              <w:rPr>
                <w:sz w:val="16"/>
                <w:szCs w:val="16"/>
              </w:rPr>
              <w:t>О «</w:t>
            </w:r>
            <w:r w:rsidR="0011706A">
              <w:rPr>
                <w:sz w:val="16"/>
                <w:szCs w:val="16"/>
              </w:rPr>
              <w:t>И</w:t>
            </w:r>
            <w:r w:rsidR="00B55F87" w:rsidRPr="00E85EC1">
              <w:rPr>
                <w:sz w:val="16"/>
                <w:szCs w:val="16"/>
              </w:rPr>
              <w:t>К «Горизонт»</w:t>
            </w:r>
          </w:p>
          <w:p w14:paraId="1B468A3E" w14:textId="77777777" w:rsidR="00B55F87" w:rsidRPr="00E85EC1" w:rsidRDefault="00B55F87" w:rsidP="00B55F87">
            <w:pPr>
              <w:rPr>
                <w:rFonts w:ascii="Times New Roman" w:hAnsi="Times New Roman" w:cs="Times New Roman"/>
                <w:b/>
                <w:sz w:val="18"/>
                <w:szCs w:val="18"/>
              </w:rPr>
            </w:pPr>
          </w:p>
        </w:tc>
      </w:tr>
    </w:tbl>
    <w:p w14:paraId="516A22CA" w14:textId="77777777" w:rsidR="006A1538" w:rsidRPr="00E85EC1" w:rsidRDefault="006A1538" w:rsidP="00E85EC1">
      <w:pPr>
        <w:autoSpaceDE w:val="0"/>
        <w:autoSpaceDN w:val="0"/>
        <w:adjustRightInd w:val="0"/>
        <w:spacing w:after="120" w:line="240" w:lineRule="auto"/>
        <w:rPr>
          <w:rFonts w:ascii="Times New Roman" w:hAnsi="Times New Roman" w:cs="Times New Roman"/>
          <w:b/>
          <w:bCs/>
          <w:sz w:val="18"/>
          <w:szCs w:val="18"/>
        </w:rPr>
      </w:pPr>
    </w:p>
    <w:p w14:paraId="7DFF05D7" w14:textId="740FF9EF" w:rsidR="006A1538" w:rsidRPr="00E85EC1" w:rsidRDefault="006A1538" w:rsidP="00E57CAC">
      <w:pPr>
        <w:spacing w:after="6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Перечень рисков, представленный в настоящем </w:t>
      </w:r>
      <w:r w:rsidR="00C149E9" w:rsidRPr="00E85EC1">
        <w:rPr>
          <w:rFonts w:ascii="Times New Roman" w:hAnsi="Times New Roman" w:cs="Times New Roman"/>
          <w:sz w:val="18"/>
          <w:szCs w:val="18"/>
        </w:rPr>
        <w:t>П</w:t>
      </w:r>
      <w:r w:rsidRPr="00E85EC1">
        <w:rPr>
          <w:rFonts w:ascii="Times New Roman" w:hAnsi="Times New Roman" w:cs="Times New Roman"/>
          <w:sz w:val="18"/>
          <w:szCs w:val="18"/>
        </w:rPr>
        <w:t>риложении</w:t>
      </w:r>
      <w:r w:rsidR="00C149E9" w:rsidRPr="00E85EC1">
        <w:rPr>
          <w:rFonts w:ascii="Times New Roman" w:hAnsi="Times New Roman" w:cs="Times New Roman"/>
          <w:sz w:val="18"/>
          <w:szCs w:val="18"/>
        </w:rPr>
        <w:t xml:space="preserve"> к Регламенту</w:t>
      </w:r>
      <w:r w:rsidR="00E57CAC">
        <w:rPr>
          <w:rFonts w:ascii="Times New Roman" w:hAnsi="Times New Roman" w:cs="Times New Roman"/>
          <w:sz w:val="18"/>
          <w:szCs w:val="18"/>
        </w:rPr>
        <w:t xml:space="preserve"> </w:t>
      </w:r>
      <w:r w:rsidR="00E57CAC" w:rsidRPr="00E57CAC">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не является исчерпывающим и не раскрывает информации обо всех рисках, связанных с инвестированием в ценные бумаги, иные финансовые инструменты, с совершением сделок с иностранной валютой и драгоценными металлами, с заключением договоров, являющихся производными финансовыми инструментами вследствие разнообразия ситуаций, возникающих на рынке ценных бумаг.</w:t>
      </w:r>
    </w:p>
    <w:p w14:paraId="7D167EAA" w14:textId="187EAE7B" w:rsidR="006A1538" w:rsidRPr="00E85EC1" w:rsidRDefault="006A1538" w:rsidP="00E85EC1">
      <w:pPr>
        <w:spacing w:after="60" w:line="240" w:lineRule="auto"/>
        <w:jc w:val="both"/>
        <w:rPr>
          <w:rFonts w:ascii="Times New Roman" w:hAnsi="Times New Roman" w:cs="Times New Roman"/>
          <w:sz w:val="18"/>
          <w:szCs w:val="18"/>
        </w:rPr>
      </w:pPr>
      <w:r w:rsidRPr="00E85EC1">
        <w:rPr>
          <w:rFonts w:ascii="Times New Roman" w:hAnsi="Times New Roman" w:cs="Times New Roman"/>
          <w:sz w:val="18"/>
          <w:szCs w:val="18"/>
        </w:rPr>
        <w:t>Декларации и уведомления призваны помочь Клиенту понять риски, связанные с инвестированием в финансовые инструменты, определить их приемлемость для себя, реально оценить свои финансовые цели и возможности.</w:t>
      </w:r>
    </w:p>
    <w:p w14:paraId="79423C76" w14:textId="77777777" w:rsidR="006A1538" w:rsidRPr="00E85EC1" w:rsidRDefault="006A1538" w:rsidP="00481756">
      <w:pPr>
        <w:autoSpaceDE w:val="0"/>
        <w:autoSpaceDN w:val="0"/>
        <w:adjustRightInd w:val="0"/>
        <w:spacing w:after="120" w:line="240" w:lineRule="auto"/>
        <w:rPr>
          <w:rFonts w:ascii="Times New Roman" w:hAnsi="Times New Roman" w:cs="Times New Roman"/>
          <w:b/>
          <w:bCs/>
          <w:sz w:val="18"/>
          <w:szCs w:val="18"/>
        </w:rPr>
      </w:pPr>
    </w:p>
    <w:p w14:paraId="1C5D35EE" w14:textId="5660371C" w:rsidR="00370C69" w:rsidRPr="00E85EC1" w:rsidRDefault="00370C69" w:rsidP="00CD72D7">
      <w:p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w:t>
      </w:r>
      <w:r w:rsidR="00C149E9" w:rsidRPr="00E85EC1">
        <w:rPr>
          <w:rFonts w:ascii="Times New Roman" w:hAnsi="Times New Roman" w:cs="Times New Roman"/>
          <w:b/>
          <w:bCs/>
          <w:sz w:val="18"/>
          <w:szCs w:val="18"/>
        </w:rPr>
        <w:t>я</w:t>
      </w:r>
      <w:r w:rsidRPr="00E85EC1">
        <w:rPr>
          <w:rFonts w:ascii="Times New Roman" w:hAnsi="Times New Roman" w:cs="Times New Roman"/>
          <w:b/>
          <w:bCs/>
          <w:sz w:val="18"/>
          <w:szCs w:val="18"/>
        </w:rPr>
        <w:t xml:space="preserve"> о рисках</w:t>
      </w:r>
    </w:p>
    <w:p w14:paraId="716ACF6F" w14:textId="77777777" w:rsidR="00CD72D7" w:rsidRPr="00E85EC1" w:rsidRDefault="00CD72D7" w:rsidP="00CD72D7">
      <w:pPr>
        <w:autoSpaceDE w:val="0"/>
        <w:autoSpaceDN w:val="0"/>
        <w:adjustRightInd w:val="0"/>
        <w:spacing w:after="0" w:line="240" w:lineRule="auto"/>
        <w:jc w:val="both"/>
        <w:rPr>
          <w:rFonts w:ascii="Times New Roman" w:hAnsi="Times New Roman" w:cs="Times New Roman"/>
          <w:bCs/>
          <w:sz w:val="18"/>
          <w:szCs w:val="18"/>
        </w:rPr>
      </w:pPr>
    </w:p>
    <w:p w14:paraId="672B679C" w14:textId="77777777" w:rsidR="00370C69" w:rsidRPr="00E85EC1" w:rsidRDefault="00370C69" w:rsidP="00E85EC1">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об общих рисках, связанных с осуществлением операций на рынке ценных бумаг</w:t>
      </w:r>
    </w:p>
    <w:p w14:paraId="0732AC68"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3E0CD85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0DD545AC" w14:textId="0D6B9EA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1. Системный риск</w:t>
      </w:r>
    </w:p>
    <w:p w14:paraId="49DEA1D0"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7CF28997" w14:textId="1972B93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2. Рыночный риск</w:t>
      </w:r>
    </w:p>
    <w:p w14:paraId="7F956EA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2C3B06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Следует специально обратить внимание на следующие рыночные риски:</w:t>
      </w:r>
    </w:p>
    <w:p w14:paraId="485312E5" w14:textId="61386099"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1). Валютный риск</w:t>
      </w:r>
    </w:p>
    <w:p w14:paraId="3608ACD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05DC73AE" w14:textId="4ADEC3D2"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2). Процентный риск</w:t>
      </w:r>
    </w:p>
    <w:p w14:paraId="754E8212"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5FE0DEA7" w14:textId="5F0B1AE4"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3). Риск банкротства эмитента акций</w:t>
      </w:r>
    </w:p>
    <w:p w14:paraId="50CA9F1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Проявляется в резком падении цены акций акционерного общества, признанного несостоятельным, или в предвидении такой несостоятельности.</w:t>
      </w:r>
    </w:p>
    <w:p w14:paraId="0845D07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95BCF14" w14:textId="173D518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3. Риск ликвидности</w:t>
      </w:r>
    </w:p>
    <w:p w14:paraId="52242EA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511E5DDC" w14:textId="3B6964B9"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4. Кредитный риск</w:t>
      </w:r>
    </w:p>
    <w:p w14:paraId="1503ACA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lastRenderedPageBreak/>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903FD9A"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 числу кредитных рисков относятся следующие риски:</w:t>
      </w:r>
    </w:p>
    <w:p w14:paraId="3924E2D9" w14:textId="5549EC9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1). Риск дефолта по облигациям и иным долговым ценным бумагам</w:t>
      </w:r>
    </w:p>
    <w:p w14:paraId="571F79DE"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6D932E16" w14:textId="10063F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2). Риск контрагента</w:t>
      </w:r>
    </w:p>
    <w:p w14:paraId="425BE62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5A99FA4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60235CE5" w14:textId="5ABD6D34"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3). Риск неисполнения обязательств перед вами вашим брокером</w:t>
      </w:r>
    </w:p>
    <w:p w14:paraId="47AF94A2"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35E5E3B8"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F5DCDA7" w14:textId="67DBE2D3"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Внимательно ознакомьтесь с проектом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5CA76844"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1D57E86C" w14:textId="6F9E04CC"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5. Правовой риск</w:t>
      </w:r>
    </w:p>
    <w:p w14:paraId="507C4A6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4B3F431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54FD6B86" w14:textId="4BD4D1B3"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6. Операционный риск</w:t>
      </w:r>
    </w:p>
    <w:p w14:paraId="1912C6E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00664460" w14:textId="15A6A5A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Ознакомьтесь внимательно с </w:t>
      </w:r>
      <w:r w:rsidR="00C21651" w:rsidRPr="00E85EC1">
        <w:rPr>
          <w:rFonts w:ascii="Times New Roman" w:hAnsi="Times New Roman" w:cs="Times New Roman"/>
          <w:sz w:val="18"/>
          <w:szCs w:val="18"/>
        </w:rPr>
        <w:t>договором о брокерском обслуживании</w:t>
      </w:r>
      <w:r w:rsidRPr="00E85EC1">
        <w:rPr>
          <w:rFonts w:ascii="Times New Roman" w:hAnsi="Times New Roman" w:cs="Times New Roman"/>
          <w:sz w:val="18"/>
          <w:szCs w:val="18"/>
        </w:rPr>
        <w:t xml:space="preserve"> для того, чтобы оценить, какие из рисков, в том числе риски каких технических сбоев, несет ваш брокер, а какие из рисков несете вы.</w:t>
      </w:r>
    </w:p>
    <w:p w14:paraId="6E59B4EB"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27E955C" w14:textId="5A7A81B5"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с вашим брокером.</w:t>
      </w:r>
    </w:p>
    <w:p w14:paraId="4EB3EA2C" w14:textId="7287F82C" w:rsidR="00370C69" w:rsidRPr="00E85EC1" w:rsidRDefault="00370C69" w:rsidP="00E85EC1">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29A4BF59" w14:textId="26D82FF1" w:rsidR="00EA1DB7" w:rsidRPr="00E85EC1" w:rsidRDefault="00EA1DB7" w:rsidP="00CF02BA">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lastRenderedPageBreak/>
        <w:t>Декларация о рисках, связанных с совершением маржинальных и непокрытых сделок</w:t>
      </w:r>
    </w:p>
    <w:p w14:paraId="304D941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w:t>
      </w:r>
      <w:r w:rsidR="00DB1359" w:rsidRPr="00E85EC1">
        <w:rPr>
          <w:rFonts w:ascii="Times New Roman" w:hAnsi="Times New Roman" w:cs="Times New Roman"/>
          <w:sz w:val="18"/>
          <w:szCs w:val="18"/>
        </w:rPr>
        <w:t>,</w:t>
      </w:r>
      <w:r w:rsidRPr="00E85EC1">
        <w:rPr>
          <w:rFonts w:ascii="Times New Roman" w:hAnsi="Times New Roman" w:cs="Times New Roman"/>
          <w:sz w:val="18"/>
          <w:szCs w:val="18"/>
        </w:rPr>
        <w:t xml:space="preserve"> по которым на момент заключения сделки имущества клиента, переданного брокеру, недостаточно с</w:t>
      </w:r>
      <w:r w:rsidR="001936C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иных ранее заключенных сделок).</w:t>
      </w:r>
    </w:p>
    <w:p w14:paraId="2B364F1B" w14:textId="5F3CBF0B"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Данные сделки подходят не всем клиентам. Нормативные акты ограничивают риски клиентов по маржинальным и непокрытым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сделкам, в том числе регулируя максимальное «плечо» — соотношение обязательств клиента по заключенным в его интересах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сделкам и имущества клиента, предназначенного для совершения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сделок в соответствии с </w:t>
      </w:r>
      <w:r w:rsidR="00C21651" w:rsidRPr="00E85EC1">
        <w:rPr>
          <w:rFonts w:ascii="Times New Roman" w:hAnsi="Times New Roman" w:cs="Times New Roman"/>
          <w:sz w:val="18"/>
          <w:szCs w:val="18"/>
        </w:rPr>
        <w:t>договором о брокерском обслуживании</w:t>
      </w:r>
      <w:r w:rsidRPr="00E85EC1">
        <w:rPr>
          <w:rFonts w:ascii="Times New Roman" w:hAnsi="Times New Roman" w:cs="Times New Roman"/>
          <w:sz w:val="18"/>
          <w:szCs w:val="18"/>
        </w:rPr>
        <w:t>. Тем не менее данные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сделки подходят не всем клиентам, поскольку сопряжены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дополнительными рисками и требуют оценки того, готовы ли вы 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нести.</w:t>
      </w:r>
    </w:p>
    <w:p w14:paraId="5D858D1B" w14:textId="77777777" w:rsidR="00EA1DB7" w:rsidRPr="00E85EC1" w:rsidRDefault="00EA1DB7" w:rsidP="0040768D">
      <w:pPr>
        <w:pStyle w:val="a3"/>
        <w:numPr>
          <w:ilvl w:val="0"/>
          <w:numId w:val="3"/>
        </w:numPr>
        <w:autoSpaceDE w:val="0"/>
        <w:autoSpaceDN w:val="0"/>
        <w:adjustRightInd w:val="0"/>
        <w:spacing w:after="120" w:line="240" w:lineRule="auto"/>
        <w:rPr>
          <w:rFonts w:ascii="Times New Roman" w:hAnsi="Times New Roman" w:cs="Times New Roman"/>
          <w:sz w:val="18"/>
          <w:szCs w:val="18"/>
        </w:rPr>
      </w:pPr>
      <w:r w:rsidRPr="00E85EC1">
        <w:rPr>
          <w:rFonts w:ascii="Times New Roman" w:hAnsi="Times New Roman" w:cs="Times New Roman"/>
          <w:sz w:val="18"/>
          <w:szCs w:val="18"/>
        </w:rPr>
        <w:t>Рыночный риск</w:t>
      </w:r>
    </w:p>
    <w:p w14:paraId="67833DE4"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согласии на совершение маржинальных и непокрытых сделок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вы должны учитывать тот факт, что величина потерь в случае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для вашего портфеля движения рынка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увеличивается при увеличении «плеча».</w:t>
      </w:r>
    </w:p>
    <w:p w14:paraId="30EA420D"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Помимо общего рыночного риска, который несет клиент,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совершающий операции на рынке ценных бумаг, вы в случае</w:t>
      </w:r>
      <w:r w:rsidR="00323E30"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маржинальных и непокрытых сделок будете нести риск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изменения цены как в отношении ценных бумаг,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результате приобретения которых возникла или увеличилась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непокрытая позиция, так и риск в отношении активов, которые служат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При этом, в случае если непокрытая позиция возникла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увеличилась в результате продажи ценных бумаг, величина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убытков ничем не ограничена –</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вы будете обязаны</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вернуть (передать) брокеру ценные бумаги независимо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от изменения их стоимости.</w:t>
      </w:r>
    </w:p>
    <w:p w14:paraId="25F4A79E"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совершении маржинальных и непокрытых сделок вы должны</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учитывать, что возможность распоряжения активами, являющимися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по таким сделкам, ограничена.</w:t>
      </w:r>
    </w:p>
    <w:p w14:paraId="35CF2966" w14:textId="3953E8B6"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Имущество (часть имущества), принадлежащее вам, в результате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маржинальной или непокрытой сделки является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обеспечением </w:t>
      </w:r>
      <w:r w:rsidR="00A97CA0" w:rsidRPr="00E85EC1">
        <w:rPr>
          <w:rFonts w:ascii="Times New Roman" w:hAnsi="Times New Roman" w:cs="Times New Roman"/>
          <w:sz w:val="18"/>
          <w:szCs w:val="18"/>
        </w:rPr>
        <w:t xml:space="preserve">исполнения ваших обязательств </w:t>
      </w:r>
      <w:r w:rsidRPr="00E85EC1">
        <w:rPr>
          <w:rFonts w:ascii="Times New Roman" w:hAnsi="Times New Roman" w:cs="Times New Roman"/>
          <w:sz w:val="18"/>
          <w:szCs w:val="18"/>
        </w:rPr>
        <w:t>перед брокером и возможность распоряжения 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может быть ограничена вплоть до полного запрета совершения с ним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каких-либо сделок. Размер обеспечения изменяется в порядке,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предусмотренном договором, и в результате вы можете быть</w:t>
      </w:r>
      <w:r w:rsidR="00323E30" w:rsidRPr="00E85EC1">
        <w:rPr>
          <w:rFonts w:ascii="Times New Roman" w:hAnsi="Times New Roman" w:cs="Times New Roman"/>
          <w:sz w:val="18"/>
          <w:szCs w:val="18"/>
        </w:rPr>
        <w:t xml:space="preserve"> </w:t>
      </w:r>
      <w:r w:rsidRPr="00E85EC1">
        <w:rPr>
          <w:rFonts w:ascii="Times New Roman" w:hAnsi="Times New Roman" w:cs="Times New Roman"/>
          <w:sz w:val="18"/>
          <w:szCs w:val="18"/>
        </w:rPr>
        <w:t>ограничены в возможности распоряжаться своим имуществом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большей степени, чем до совершения маржинальной (непокрытой)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сделки.</w:t>
      </w:r>
    </w:p>
    <w:p w14:paraId="6773EF17" w14:textId="3A8694CE"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необходимо учесть возможность принудительного закрытия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Неблагоприятное изменение цены может привести 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внести дополнительные средства для того, чтобы</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привести обеспечение в соответствие с требованиями нормативных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что должно быть сделано в короткий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срок, который может быть недостаточен для вас. Нормативные акты 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условия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позволяют брокеру без вашего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согласия «принудительно закрыть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позицию», то есть приобрести ценные бумаги за счет ваших денежных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средств или продать ваши ценные бумаги. Это может быть сделано по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существующим, в том числе невыгодным, ценам и привести 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возникновению у вас убытков.</w:t>
      </w:r>
    </w:p>
    <w:p w14:paraId="65A838AB"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позиции может быть вызвано резкими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колебаниями рыночных цен, которые повлекли уменьшение стоимости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вашего портфеля ниже минимальной маржи.</w:t>
      </w:r>
    </w:p>
    <w:p w14:paraId="0192E6DF"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позиции может быть вызвано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требованиями нормативных актов или внесением брокером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одностороннем порядке изменений в список ценных бумаг, которые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могут быть обеспечением по непокрытым позициям.</w:t>
      </w:r>
    </w:p>
    <w:p w14:paraId="7BAF97F4"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может быть вызвано изменением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значений ставок риска, рассчитываемых клиринговой организацией 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используемых брокером в связи с увеличением волатильности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ценных бумаг.</w:t>
      </w:r>
    </w:p>
    <w:p w14:paraId="1A656C85"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Во всех этих случаях принудительное закрытие позиции может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причинить вам значительные </w:t>
      </w:r>
      <w:proofErr w:type="gramStart"/>
      <w:r w:rsidRPr="00E85EC1">
        <w:rPr>
          <w:rFonts w:ascii="Times New Roman" w:hAnsi="Times New Roman" w:cs="Times New Roman"/>
          <w:sz w:val="18"/>
          <w:szCs w:val="18"/>
        </w:rPr>
        <w:t>убытки, несмотря на то, что</w:t>
      </w:r>
      <w:proofErr w:type="gramEnd"/>
      <w:r w:rsidRPr="00E85EC1">
        <w:rPr>
          <w:rFonts w:ascii="Times New Roman" w:hAnsi="Times New Roman" w:cs="Times New Roman"/>
          <w:sz w:val="18"/>
          <w:szCs w:val="18"/>
        </w:rPr>
        <w:t xml:space="preserve"> после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закрытия позиции изменение цен на финансовые инструменты может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принять благоприятное для вас направление, и вы получили бы доход,</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если бы ваша позиция не была закрыта. Размер указанных убытков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неблагоприятном стечении обстоятельств может превысить стоимость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находящихся на вашем счету активов.</w:t>
      </w:r>
    </w:p>
    <w:p w14:paraId="4000F984" w14:textId="77777777" w:rsidR="00EA1DB7" w:rsidRPr="00E85EC1" w:rsidRDefault="00EA1DB7" w:rsidP="0040768D">
      <w:pPr>
        <w:pStyle w:val="a3"/>
        <w:numPr>
          <w:ilvl w:val="0"/>
          <w:numId w:val="3"/>
        </w:numPr>
        <w:autoSpaceDE w:val="0"/>
        <w:autoSpaceDN w:val="0"/>
        <w:adjustRightInd w:val="0"/>
        <w:spacing w:after="120" w:line="240" w:lineRule="auto"/>
        <w:rPr>
          <w:rFonts w:ascii="Times New Roman" w:hAnsi="Times New Roman" w:cs="Times New Roman"/>
          <w:sz w:val="18"/>
          <w:szCs w:val="18"/>
        </w:rPr>
      </w:pPr>
      <w:r w:rsidRPr="00E85EC1">
        <w:rPr>
          <w:rFonts w:ascii="Times New Roman" w:hAnsi="Times New Roman" w:cs="Times New Roman"/>
          <w:sz w:val="18"/>
          <w:szCs w:val="18"/>
        </w:rPr>
        <w:t>Риск ликвидности</w:t>
      </w:r>
    </w:p>
    <w:p w14:paraId="0071169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величина непокрытой позиции по отдельным ценным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бумагам является значимой в сравнении с объемом соответствующих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ценных бумаг в свободном обращении и (или) в сравнении с объемом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торгов на организованном рынке, риск ликвидности при совершении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маржинальной и непокрытой сделки усиливается. Трудности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приобретением или продажей активов могут привести к увеличению</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убытков по сравнению с обычными сделками. Аналогично необходимо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учитывать возрастающий риск ликвидности, если обеспечением вашей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непокрытой позиции являются ценные бумаги и для закрытия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непокрытой позиции может потребоваться реализация существенного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количества ценных бумаг.</w:t>
      </w:r>
    </w:p>
    <w:p w14:paraId="0D7B9BCF"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Ваши поручения, направленные на ограничение убытков, не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всегда могут ограничить потери до предполагаемого уровня, так как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рамках складывающейся на рынке ситуации исполнение такого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поручения по указанной вами це</w:t>
      </w:r>
      <w:r w:rsidR="00A97CA0" w:rsidRPr="00E85EC1">
        <w:rPr>
          <w:rFonts w:ascii="Times New Roman" w:hAnsi="Times New Roman" w:cs="Times New Roman"/>
          <w:sz w:val="18"/>
          <w:szCs w:val="18"/>
        </w:rPr>
        <w:t>не может оказаться невозможным.</w:t>
      </w:r>
    </w:p>
    <w:p w14:paraId="5A151397" w14:textId="58078690"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рассмотреть вопрос о том, являются ли риски, возникающие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проведении соответствующих операций, приемлемыми для вас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ваших инвестиционных целей и финансовых возможностей.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Данная Декларация не имеет своей целью заставить вас отказаться от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осуществления таких операций, а призвана помочь вам оценить 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и ответственно подойти к решению вопроса о выборе вашей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инвестиционной стратегии и условий договора</w:t>
      </w:r>
      <w:r w:rsidR="00C21651"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 вашим </w:t>
      </w:r>
      <w:r w:rsidR="00A97CA0" w:rsidRPr="00E85EC1">
        <w:rPr>
          <w:rFonts w:ascii="Times New Roman" w:hAnsi="Times New Roman" w:cs="Times New Roman"/>
          <w:sz w:val="18"/>
          <w:szCs w:val="18"/>
        </w:rPr>
        <w:t>брокером</w:t>
      </w:r>
      <w:r w:rsidRPr="00E85EC1">
        <w:rPr>
          <w:rFonts w:ascii="Times New Roman" w:hAnsi="Times New Roman" w:cs="Times New Roman"/>
          <w:sz w:val="18"/>
          <w:szCs w:val="18"/>
        </w:rPr>
        <w:t>.</w:t>
      </w:r>
    </w:p>
    <w:p w14:paraId="759D6075"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Убедитесь, что настоящая Декларация о рисках понятна вам, и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получите разъяснения у вашего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брокера</w:t>
      </w:r>
      <w:r w:rsidR="0049717B"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консультанта, специализирующегося на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вопросах.</w:t>
      </w:r>
    </w:p>
    <w:p w14:paraId="318A4D82" w14:textId="77777777" w:rsidR="00883B36" w:rsidRPr="00E85EC1" w:rsidRDefault="00883B36"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lastRenderedPageBreak/>
        <w:t>Деклараци</w:t>
      </w:r>
      <w:r w:rsidR="00EA1DB7" w:rsidRPr="00E85EC1">
        <w:rPr>
          <w:rFonts w:ascii="Times New Roman" w:hAnsi="Times New Roman" w:cs="Times New Roman"/>
          <w:b/>
          <w:bCs/>
          <w:sz w:val="18"/>
          <w:szCs w:val="18"/>
        </w:rPr>
        <w:t>я о</w:t>
      </w:r>
      <w:r w:rsidRPr="00E85EC1">
        <w:rPr>
          <w:rFonts w:ascii="Times New Roman" w:hAnsi="Times New Roman" w:cs="Times New Roman"/>
          <w:b/>
          <w:bCs/>
          <w:sz w:val="18"/>
          <w:szCs w:val="18"/>
        </w:rPr>
        <w:t xml:space="preserve"> рисках, связанн</w:t>
      </w:r>
      <w:r w:rsidR="00EA1DB7" w:rsidRPr="00E85EC1">
        <w:rPr>
          <w:rFonts w:ascii="Times New Roman" w:hAnsi="Times New Roman" w:cs="Times New Roman"/>
          <w:b/>
          <w:bCs/>
          <w:sz w:val="18"/>
          <w:szCs w:val="18"/>
        </w:rPr>
        <w:t>ых</w:t>
      </w:r>
      <w:r w:rsidRPr="00E85EC1">
        <w:rPr>
          <w:rFonts w:ascii="Times New Roman" w:hAnsi="Times New Roman" w:cs="Times New Roman"/>
          <w:b/>
          <w:bCs/>
          <w:sz w:val="18"/>
          <w:szCs w:val="18"/>
        </w:rPr>
        <w:t xml:space="preserve"> </w:t>
      </w:r>
      <w:r w:rsidR="00EA1DB7" w:rsidRPr="00E85EC1">
        <w:rPr>
          <w:rFonts w:ascii="Times New Roman" w:hAnsi="Times New Roman" w:cs="Times New Roman"/>
          <w:b/>
          <w:bCs/>
          <w:sz w:val="18"/>
          <w:szCs w:val="18"/>
        </w:rPr>
        <w:t>с</w:t>
      </w:r>
      <w:r w:rsidRPr="00E85EC1">
        <w:rPr>
          <w:rFonts w:ascii="Times New Roman" w:hAnsi="Times New Roman" w:cs="Times New Roman"/>
          <w:b/>
          <w:bCs/>
          <w:sz w:val="18"/>
          <w:szCs w:val="18"/>
        </w:rPr>
        <w:t xml:space="preserve"> п</w:t>
      </w:r>
      <w:r w:rsidR="00EA1DB7" w:rsidRPr="00E85EC1">
        <w:rPr>
          <w:rFonts w:ascii="Times New Roman" w:hAnsi="Times New Roman" w:cs="Times New Roman"/>
          <w:b/>
          <w:bCs/>
          <w:sz w:val="18"/>
          <w:szCs w:val="18"/>
        </w:rPr>
        <w:t>ро</w:t>
      </w:r>
      <w:r w:rsidRPr="00E85EC1">
        <w:rPr>
          <w:rFonts w:ascii="Times New Roman" w:hAnsi="Times New Roman" w:cs="Times New Roman"/>
          <w:b/>
          <w:bCs/>
          <w:sz w:val="18"/>
          <w:szCs w:val="18"/>
        </w:rPr>
        <w:t>изводными финансовыми инструментами</w:t>
      </w:r>
    </w:p>
    <w:p w14:paraId="21CC4860"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—предоставить вам информацию об</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основных рисках, связанных с производными финансовыми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инструментами.</w:t>
      </w:r>
    </w:p>
    <w:p w14:paraId="35013DAD"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Данные инструменты (фьючерсы, форварды, опционы, свопы и др.)</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подходят не всем клиентам. Более того, некоторые виды производных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финансовых инструментов сопряжены с </w:t>
      </w:r>
      <w:proofErr w:type="spellStart"/>
      <w:r w:rsidRPr="00E85EC1">
        <w:rPr>
          <w:rFonts w:ascii="Times New Roman" w:hAnsi="Times New Roman" w:cs="Times New Roman"/>
          <w:sz w:val="18"/>
          <w:szCs w:val="18"/>
        </w:rPr>
        <w:t>бо́льшим</w:t>
      </w:r>
      <w:proofErr w:type="spellEnd"/>
      <w:r w:rsidRPr="00E85EC1">
        <w:rPr>
          <w:rFonts w:ascii="Times New Roman" w:hAnsi="Times New Roman" w:cs="Times New Roman"/>
          <w:sz w:val="18"/>
          <w:szCs w:val="18"/>
        </w:rPr>
        <w:t xml:space="preserve"> уровнем риска, чем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другие. Так, продажа опционных контрактов и заключение фьючерсных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контрактов, форвардных контрактов и своп-контрактов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относительно небольших неблагоприятных колебаниях цен на рынке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может подвергнуть вас риску значительных убытков. С учетом этого,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совершение сделок по продаже опционных контрактов и заключение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фьючерсных и форвардных контрактов может быть рекомендовано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только опытным инвесторам, обладающим значительными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финансовыми возможностями и практическими знаниями в области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применения инвестиционных стратегий.</w:t>
      </w:r>
    </w:p>
    <w:p w14:paraId="0BA7F58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Настоящая декларация относится также и к производным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 инструментам, направленным на снижение рисков других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операций на фондовом рынке. Внимательно оцените, как ваши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производные финансовые инструменты соотносятся с операциями,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по которым они призваны ограничить, и убедитесь, что объем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на срочном рынке соответствует объему хеджируемой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на спот-рынке.</w:t>
      </w:r>
    </w:p>
    <w:p w14:paraId="45833A86" w14:textId="77777777" w:rsidR="00EA1DB7" w:rsidRPr="00E85EC1" w:rsidRDefault="00EA1DB7" w:rsidP="0040768D">
      <w:pPr>
        <w:pStyle w:val="a3"/>
        <w:numPr>
          <w:ilvl w:val="0"/>
          <w:numId w:val="5"/>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Рыночный риск</w:t>
      </w:r>
    </w:p>
    <w:p w14:paraId="5668F188"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Помимо общего рыночного (ценового) риска, который несет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клиент, совершающий операции на рынке ценных бумаг, вы в случае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заключ</w:t>
      </w:r>
      <w:r w:rsidR="00883B36" w:rsidRPr="00E85EC1">
        <w:rPr>
          <w:rFonts w:ascii="Times New Roman" w:hAnsi="Times New Roman" w:cs="Times New Roman"/>
          <w:sz w:val="18"/>
          <w:szCs w:val="18"/>
        </w:rPr>
        <w:t xml:space="preserve">ения </w:t>
      </w:r>
      <w:r w:rsidR="00A97CA0" w:rsidRPr="00E85EC1">
        <w:rPr>
          <w:rFonts w:ascii="Times New Roman" w:hAnsi="Times New Roman" w:cs="Times New Roman"/>
          <w:sz w:val="18"/>
          <w:szCs w:val="18"/>
        </w:rPr>
        <w:t>вами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договоров, являющихся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производными финансовыми инструментами, будете нести риск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изменения цены как финансовых инструментов,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являющихся базисным активом производных финансовых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инструментов, так и риск в отношении активов, которые служат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w:t>
      </w:r>
    </w:p>
    <w:p w14:paraId="1306D9DB"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случае неблагоприятного изменения цены вы можете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сравнительно короткий срок потерять средства, являющиеся</w:t>
      </w:r>
      <w:r w:rsidR="00535FA1"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производных финансовых инструментов.</w:t>
      </w:r>
    </w:p>
    <w:p w14:paraId="08E06C2C"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заключении договоров, являющихся производными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финансовыми инструментами, вы должны учитывать, что возможность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распоряжения активами, являющимися обеспечением по таким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договорам, ограничена.</w:t>
      </w:r>
    </w:p>
    <w:p w14:paraId="24A27DA6"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Имущество (часть имущества), принадлежащее вам, в результате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заключения договора, являющегося производным финансовым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инструментом, будет являться обеспечением исполнения обязательств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 указанному договору и распоряжение им, то есть возможность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вами сделок с ним, будет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ограничено. Размер обеспечения изменяется в порядке,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предусмотренном договором (спецификацией контракта), и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результате вы можете быть ограничены</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 возможности распоряжаться вашим имуществом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большей степени, чем до заключения договора.</w:t>
      </w:r>
    </w:p>
    <w:p w14:paraId="08BAFC7C" w14:textId="33C23973"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необходимо учесть возможность принудительного закрытия</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Неблагоприятное изменение цены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внести дополнительные средства для того, чтобы</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привести обеспечение в соответствие с требованиями нормативных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что должно быть сделано в короткий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срок, который может быть недостаточен для вас. Обслуживающий </w:t>
      </w:r>
      <w:r w:rsidR="00A97CA0" w:rsidRPr="00E85EC1">
        <w:rPr>
          <w:rFonts w:ascii="Times New Roman" w:hAnsi="Times New Roman" w:cs="Times New Roman"/>
          <w:sz w:val="18"/>
          <w:szCs w:val="18"/>
        </w:rPr>
        <w:t>вас</w:t>
      </w:r>
      <w:r w:rsidR="00A90B65" w:rsidRPr="00E85EC1">
        <w:rPr>
          <w:rFonts w:ascii="Times New Roman" w:hAnsi="Times New Roman" w:cs="Times New Roman"/>
          <w:sz w:val="18"/>
          <w:szCs w:val="18"/>
        </w:rPr>
        <w:t xml:space="preserve"> </w:t>
      </w:r>
      <w:r w:rsidR="00A97CA0" w:rsidRPr="00E85EC1">
        <w:rPr>
          <w:rFonts w:ascii="Times New Roman" w:hAnsi="Times New Roman" w:cs="Times New Roman"/>
          <w:sz w:val="18"/>
          <w:szCs w:val="18"/>
        </w:rPr>
        <w:t>брокер в этом случае вправе без</w:t>
      </w:r>
      <w:r w:rsidR="0049717B" w:rsidRPr="00E85EC1">
        <w:rPr>
          <w:rFonts w:ascii="Times New Roman" w:hAnsi="Times New Roman" w:cs="Times New Roman"/>
          <w:sz w:val="18"/>
          <w:szCs w:val="18"/>
        </w:rPr>
        <w:t xml:space="preserve"> </w:t>
      </w:r>
      <w:r w:rsidR="00A97CA0" w:rsidRPr="00E85EC1">
        <w:rPr>
          <w:rFonts w:ascii="Times New Roman" w:hAnsi="Times New Roman" w:cs="Times New Roman"/>
          <w:sz w:val="18"/>
          <w:szCs w:val="18"/>
        </w:rPr>
        <w:t>вашего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дополнительног</w:t>
      </w:r>
      <w:r w:rsidR="00A97CA0" w:rsidRPr="00E85EC1">
        <w:rPr>
          <w:rFonts w:ascii="Times New Roman" w:hAnsi="Times New Roman" w:cs="Times New Roman"/>
          <w:sz w:val="18"/>
          <w:szCs w:val="18"/>
        </w:rPr>
        <w:t xml:space="preserve">о согласия </w:t>
      </w:r>
      <w:r w:rsidRPr="00E85EC1">
        <w:rPr>
          <w:rFonts w:ascii="Times New Roman" w:hAnsi="Times New Roman" w:cs="Times New Roman"/>
          <w:sz w:val="18"/>
          <w:szCs w:val="18"/>
        </w:rPr>
        <w:t>«принудительно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закрыть позицию», то есть заключить договор, являющийся</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 финансовым инструментом, или приобрести ценные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бумаги за счет ваших денежных средств, или продать ваши ценные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бумаги. Это может быть сделано по существующим, в том числе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невыгодным, ценам и привести к возникновению у вас убытков.</w:t>
      </w:r>
    </w:p>
    <w:p w14:paraId="0874D6D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Вы можете понести значительные </w:t>
      </w:r>
      <w:proofErr w:type="gramStart"/>
      <w:r w:rsidRPr="00E85EC1">
        <w:rPr>
          <w:rFonts w:ascii="Times New Roman" w:hAnsi="Times New Roman" w:cs="Times New Roman"/>
          <w:sz w:val="18"/>
          <w:szCs w:val="18"/>
        </w:rPr>
        <w:t>убытки, несмотря на то, что</w:t>
      </w:r>
      <w:proofErr w:type="gramEnd"/>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после этого изменение цен на финансовые инструменты может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принять благоприятное для вас направление и вы получили бы доход,</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если бы ваша позиция не была закрыта. Размер указанных убытков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неблагоприятном стечении обстоятельств может превысить стоимость</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находящихся на вашем счету активов.</w:t>
      </w:r>
    </w:p>
    <w:p w14:paraId="05630659" w14:textId="77777777" w:rsidR="00EA1DB7" w:rsidRPr="00E85EC1" w:rsidRDefault="00EA1DB7" w:rsidP="0040768D">
      <w:pPr>
        <w:pStyle w:val="a3"/>
        <w:numPr>
          <w:ilvl w:val="0"/>
          <w:numId w:val="5"/>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 ликвидности</w:t>
      </w:r>
    </w:p>
    <w:p w14:paraId="42F72AB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Трудности с закрытием позиций и потери в цене могут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увеличению убытков от производных финансовых инструментов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сравнению с обычными сделками.</w:t>
      </w:r>
    </w:p>
    <w:p w14:paraId="1F2DC881"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ваша инвестиционная стратегия предусматривает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возможность возникновения необходимости закрытия позиции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соответствующему контракту (или заключения сделки с иным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контрактом, которая снижает риск по данному контракту), обращайте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внимание на ликвидность соответствующих контрактов, так как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закрытие позиций по неликвидным контрактам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значительным убыткам. Обратите внимание, что, как правило,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контракты с более отдаленными сроками исполнения менее ликвидны</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 сравнению с контрактами с близкими сроками исполнения.</w:t>
      </w:r>
    </w:p>
    <w:p w14:paraId="3A71CE8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заключенный вами договор, являющийся производным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 инструментом, неликвиден, и у вас возникла</w:t>
      </w:r>
      <w:r w:rsidR="00535FA1"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необходимость закрыть позицию, обязательно рассматривайте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помимо закрытия позиции по данному контракту альтернативные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варианты исключения риска посредством заключения сделок с иными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производными финансовыми инструментами или с базисными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активами. Использование альтернативных вариантов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меньшим убыткам.</w:t>
      </w:r>
    </w:p>
    <w:p w14:paraId="3B0D372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Ваши поручения, направленные на ограничение убытков, не всегда</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могут ограничить потери до предполагаемого уровня, так как в рамках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складывающейся на рынке ситуации исполнение такого поручения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указанной вами це</w:t>
      </w:r>
      <w:r w:rsidR="00A97CA0" w:rsidRPr="00E85EC1">
        <w:rPr>
          <w:rFonts w:ascii="Times New Roman" w:hAnsi="Times New Roman" w:cs="Times New Roman"/>
          <w:sz w:val="18"/>
          <w:szCs w:val="18"/>
        </w:rPr>
        <w:t>не может оказаться невозможным.</w:t>
      </w:r>
    </w:p>
    <w:p w14:paraId="0509EE20"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Операции с производными финансовыми инструментами,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базисным активом которых являются ценные бумаги иностранных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эмитентов или индексы, рассчитанные по таким ценным бумагам,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влекут также риски, связанные с иностранным происхождением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базисного актива.</w:t>
      </w:r>
    </w:p>
    <w:p w14:paraId="6900E703"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рассмотреть вопрос о том, являются ли риски, возникающие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проведении соответствующих операций, приемлемыми для вас с</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ваших инвестиционных целей и финансовых возможностей.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Данная Декларация не имеет своей целью заставить вас отказаться от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осуществления таких </w:t>
      </w:r>
      <w:r w:rsidRPr="00E85EC1">
        <w:rPr>
          <w:rFonts w:ascii="Times New Roman" w:hAnsi="Times New Roman" w:cs="Times New Roman"/>
          <w:sz w:val="18"/>
          <w:szCs w:val="18"/>
        </w:rPr>
        <w:lastRenderedPageBreak/>
        <w:t>операций, а призвана помочь вам оценить их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и ответственно подойти к решению вопроса о выборе вашей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инвестиционной стратегии и условий договора с вашим брокером</w:t>
      </w:r>
      <w:r w:rsidR="00A97CA0" w:rsidRPr="00E85EC1">
        <w:rPr>
          <w:rFonts w:ascii="Times New Roman" w:hAnsi="Times New Roman" w:cs="Times New Roman"/>
          <w:sz w:val="18"/>
          <w:szCs w:val="18"/>
        </w:rPr>
        <w:t>.</w:t>
      </w:r>
    </w:p>
    <w:p w14:paraId="62AB506E"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Убедитесь, что настоящая </w:t>
      </w:r>
      <w:r w:rsidR="00A90B65" w:rsidRPr="00E85EC1">
        <w:rPr>
          <w:rFonts w:ascii="Times New Roman" w:hAnsi="Times New Roman" w:cs="Times New Roman"/>
          <w:sz w:val="18"/>
          <w:szCs w:val="18"/>
        </w:rPr>
        <w:t>Декларация</w:t>
      </w:r>
      <w:r w:rsidRPr="00E85EC1">
        <w:rPr>
          <w:rFonts w:ascii="Times New Roman" w:hAnsi="Times New Roman" w:cs="Times New Roman"/>
          <w:sz w:val="18"/>
          <w:szCs w:val="18"/>
        </w:rPr>
        <w:t xml:space="preserve"> о рисках понятна вам, и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получите разъяснения у вашего</w:t>
      </w:r>
      <w:r w:rsidR="00A97CA0" w:rsidRPr="00E85EC1">
        <w:rPr>
          <w:rFonts w:ascii="Times New Roman" w:hAnsi="Times New Roman" w:cs="Times New Roman"/>
          <w:sz w:val="18"/>
          <w:szCs w:val="18"/>
        </w:rPr>
        <w:t xml:space="preserve"> брокера</w:t>
      </w:r>
      <w:r w:rsidRPr="00E85EC1">
        <w:rPr>
          <w:rFonts w:ascii="Times New Roman" w:hAnsi="Times New Roman" w:cs="Times New Roman"/>
          <w:sz w:val="18"/>
          <w:szCs w:val="18"/>
        </w:rPr>
        <w:t xml:space="preserve"> или консультанта, специализирующегося на</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вопросах.</w:t>
      </w:r>
    </w:p>
    <w:p w14:paraId="61396CD7" w14:textId="77777777" w:rsidR="00DC2F7D" w:rsidRPr="00E85EC1" w:rsidRDefault="00CD72D7"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иностранных ценных бумаг</w:t>
      </w:r>
    </w:p>
    <w:p w14:paraId="73116EFC"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w:t>
      </w:r>
      <w:r w:rsidR="00B90565" w:rsidRPr="00E85EC1">
        <w:rPr>
          <w:rFonts w:ascii="Times New Roman" w:hAnsi="Times New Roman" w:cs="Times New Roman"/>
          <w:sz w:val="18"/>
          <w:szCs w:val="18"/>
        </w:rPr>
        <w:t>,</w:t>
      </w:r>
      <w:r w:rsidRPr="00E85EC1">
        <w:rPr>
          <w:rFonts w:ascii="Times New Roman" w:hAnsi="Times New Roman" w:cs="Times New Roman"/>
          <w:sz w:val="18"/>
          <w:szCs w:val="18"/>
        </w:rPr>
        <w:t xml:space="preserve"> организованном, фондовом рынке.</w:t>
      </w:r>
    </w:p>
    <w:p w14:paraId="7EDBB58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DD0D3BD"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Системные риски</w:t>
      </w:r>
    </w:p>
    <w:p w14:paraId="5F57DAB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486D9AC2" w14:textId="4249E97D"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w:t>
      </w:r>
      <w:r w:rsidR="00301AB7" w:rsidRPr="00E85EC1">
        <w:rPr>
          <w:rFonts w:ascii="Times New Roman" w:hAnsi="Times New Roman" w:cs="Times New Roman"/>
          <w:sz w:val="18"/>
          <w:szCs w:val="18"/>
          <w:lang w:val="en-US"/>
        </w:rPr>
        <w:t>RATINGS</w:t>
      </w:r>
      <w:r w:rsidRPr="00E85EC1">
        <w:rPr>
          <w:rFonts w:ascii="Times New Roman" w:hAnsi="Times New Roman" w:cs="Times New Roman"/>
          <w:sz w:val="18"/>
          <w:szCs w:val="18"/>
        </w:rPr>
        <w:t>, однако следует иметь в виду, что рейтинги являются лишь ориентирами и могут в конкретный момент не соответствовать реальной ситуации.</w:t>
      </w:r>
    </w:p>
    <w:p w14:paraId="2FD6D1E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F3E7090"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ашим планам.</w:t>
      </w:r>
    </w:p>
    <w:p w14:paraId="79713D9E"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0855D987"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086BEB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в большинстве случаев не сможете полагаться на защиту своих прав и законных интересов российскими уполномоченными органами.</w:t>
      </w:r>
    </w:p>
    <w:p w14:paraId="2C4F9F44"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w:t>
      </w:r>
    </w:p>
    <w:p w14:paraId="059DC84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119E83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w:t>
      </w:r>
      <w:r w:rsidR="0057117E" w:rsidRPr="00E85EC1">
        <w:rPr>
          <w:rFonts w:ascii="Times New Roman" w:hAnsi="Times New Roman" w:cs="Times New Roman"/>
          <w:sz w:val="18"/>
          <w:szCs w:val="18"/>
        </w:rPr>
        <w:t xml:space="preserve">шибок переводчика, в том числе, </w:t>
      </w:r>
      <w:r w:rsidRPr="00E85EC1">
        <w:rPr>
          <w:rFonts w:ascii="Times New Roman" w:hAnsi="Times New Roman" w:cs="Times New Roman"/>
          <w:sz w:val="18"/>
          <w:szCs w:val="18"/>
        </w:rPr>
        <w:t>связанных с возможным различным переводом одних и тех же иностранных слов и фраз или отсутствием общепринятого русского эквивалента.</w:t>
      </w:r>
    </w:p>
    <w:p w14:paraId="29EE99AA" w14:textId="77777777" w:rsidR="00DC2F7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Учитывая вышеизложенное, мы рекомендуем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 внимательно рассмотреть вопрос о том, являются ли риски, возникающие при проведении соответствующих операций, приемлемыми для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ас с учетом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инвестиционных целей и финансовых возможностей. Данная Декларация не имеет своей целью заставить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ас отказаться от осуществления таких операций, а призвана помочь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ам оценить их риски и ответственно подойти к решению вопроса о выборе Вашей инвестиционной стратегии и условий договора</w:t>
      </w:r>
      <w:r w:rsidR="00B90565" w:rsidRPr="00E85EC1">
        <w:rPr>
          <w:rFonts w:ascii="Times New Roman" w:hAnsi="Times New Roman" w:cs="Times New Roman"/>
          <w:sz w:val="18"/>
          <w:szCs w:val="18"/>
        </w:rPr>
        <w:t xml:space="preserve"> с </w:t>
      </w:r>
      <w:r w:rsidR="0057117E" w:rsidRPr="00E85EC1">
        <w:rPr>
          <w:rFonts w:ascii="Times New Roman" w:hAnsi="Times New Roman" w:cs="Times New Roman"/>
          <w:sz w:val="18"/>
          <w:szCs w:val="18"/>
        </w:rPr>
        <w:t>в</w:t>
      </w:r>
      <w:r w:rsidR="00B90565" w:rsidRPr="00E85EC1">
        <w:rPr>
          <w:rFonts w:ascii="Times New Roman" w:hAnsi="Times New Roman" w:cs="Times New Roman"/>
          <w:sz w:val="18"/>
          <w:szCs w:val="18"/>
        </w:rPr>
        <w:t xml:space="preserve">ашим </w:t>
      </w:r>
      <w:r w:rsidR="0036478D" w:rsidRPr="00E85EC1">
        <w:rPr>
          <w:rFonts w:ascii="Times New Roman" w:hAnsi="Times New Roman" w:cs="Times New Roman"/>
          <w:sz w:val="18"/>
          <w:szCs w:val="18"/>
        </w:rPr>
        <w:t>брокером</w:t>
      </w:r>
      <w:r w:rsidR="0057117E" w:rsidRPr="00E85EC1">
        <w:rPr>
          <w:rFonts w:ascii="Times New Roman" w:hAnsi="Times New Roman" w:cs="Times New Roman"/>
          <w:sz w:val="18"/>
          <w:szCs w:val="18"/>
        </w:rPr>
        <w:t>.</w:t>
      </w:r>
    </w:p>
    <w:p w14:paraId="4189E91F" w14:textId="3D22C346" w:rsidR="0001149D" w:rsidRPr="00E85EC1" w:rsidRDefault="0001149D" w:rsidP="00E85EC1">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иностранных облигаций</w:t>
      </w:r>
    </w:p>
    <w:p w14:paraId="62C12659" w14:textId="7271B965"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26E9073D"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с участием в корпоративных действиях</w:t>
      </w:r>
    </w:p>
    <w:p w14:paraId="54C7800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w:t>
      </w:r>
      <w:r w:rsidR="00BE1AC9" w:rsidRPr="00E85EC1">
        <w:rPr>
          <w:rFonts w:ascii="Times New Roman" w:hAnsi="Times New Roman" w:cs="Times New Roman"/>
          <w:sz w:val="18"/>
          <w:szCs w:val="18"/>
        </w:rPr>
        <w:t xml:space="preserve">на </w:t>
      </w:r>
      <w:r w:rsidRPr="00E85EC1">
        <w:rPr>
          <w:rFonts w:ascii="Times New Roman" w:hAnsi="Times New Roman" w:cs="Times New Roman"/>
          <w:sz w:val="18"/>
          <w:szCs w:val="18"/>
        </w:rPr>
        <w:t>иностранные облигации</w:t>
      </w:r>
      <w:r w:rsidR="00BE1AC9" w:rsidRPr="00E85EC1">
        <w:rPr>
          <w:rFonts w:ascii="Times New Roman" w:hAnsi="Times New Roman" w:cs="Times New Roman"/>
          <w:sz w:val="18"/>
          <w:szCs w:val="18"/>
        </w:rPr>
        <w:t>, н</w:t>
      </w:r>
      <w:r w:rsidRPr="00E85EC1">
        <w:rPr>
          <w:rFonts w:ascii="Times New Roman" w:hAnsi="Times New Roman" w:cs="Times New Roman"/>
          <w:sz w:val="18"/>
          <w:szCs w:val="18"/>
        </w:rPr>
        <w:t>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0486A63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u w:val="single"/>
        </w:rPr>
        <w:t>Участие в добровольных корпоративных действиях</w:t>
      </w:r>
      <w:r w:rsidRPr="00E85EC1">
        <w:rPr>
          <w:rFonts w:ascii="Times New Roman" w:hAnsi="Times New Roman" w:cs="Times New Roman"/>
          <w:sz w:val="18"/>
          <w:szCs w:val="18"/>
        </w:rPr>
        <w:t xml:space="preserve">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3CA27AFF"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u w:val="single"/>
        </w:rPr>
      </w:pPr>
      <w:r w:rsidRPr="00E85EC1">
        <w:rPr>
          <w:rFonts w:ascii="Times New Roman" w:hAnsi="Times New Roman" w:cs="Times New Roman"/>
          <w:sz w:val="18"/>
          <w:szCs w:val="18"/>
        </w:rPr>
        <w:t xml:space="preserve">Аналогичные риски могут возникнуть при участии в </w:t>
      </w:r>
      <w:r w:rsidRPr="00E85EC1">
        <w:rPr>
          <w:rFonts w:ascii="Times New Roman" w:hAnsi="Times New Roman" w:cs="Times New Roman"/>
          <w:sz w:val="18"/>
          <w:szCs w:val="18"/>
          <w:u w:val="single"/>
        </w:rPr>
        <w:t>обязательных корпоративных действиях.</w:t>
      </w:r>
    </w:p>
    <w:p w14:paraId="40555045"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23F5336C"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с установлением в эмиссионных документах минимальной деноминации</w:t>
      </w:r>
    </w:p>
    <w:p w14:paraId="10C26D3C"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DE556B7"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w:t>
      </w:r>
      <w:r w:rsidRPr="00E85EC1">
        <w:rPr>
          <w:rFonts w:ascii="Times New Roman" w:hAnsi="Times New Roman" w:cs="Times New Roman"/>
          <w:sz w:val="18"/>
          <w:szCs w:val="18"/>
          <w:lang w:val="en-US"/>
        </w:rPr>
        <w:t>USD</w:t>
      </w:r>
      <w:r w:rsidRPr="00E85EC1">
        <w:rPr>
          <w:rFonts w:ascii="Times New Roman" w:hAnsi="Times New Roman" w:cs="Times New Roman"/>
          <w:sz w:val="18"/>
          <w:szCs w:val="18"/>
        </w:rPr>
        <w:t xml:space="preserve"> 100 000) и кратным шагу деноминации (например, </w:t>
      </w:r>
      <w:r w:rsidRPr="00E85EC1">
        <w:rPr>
          <w:rFonts w:ascii="Times New Roman" w:hAnsi="Times New Roman" w:cs="Times New Roman"/>
          <w:sz w:val="18"/>
          <w:szCs w:val="18"/>
          <w:lang w:val="en-US"/>
        </w:rPr>
        <w:t>USD</w:t>
      </w:r>
      <w:r w:rsidRPr="00E85EC1">
        <w:rPr>
          <w:rFonts w:ascii="Times New Roman" w:hAnsi="Times New Roman" w:cs="Times New Roman"/>
          <w:sz w:val="18"/>
          <w:szCs w:val="18"/>
        </w:rPr>
        <w:t xml:space="preserve">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E85EC1">
        <w:rPr>
          <w:rFonts w:ascii="Times New Roman" w:hAnsi="Times New Roman" w:cs="Times New Roman"/>
          <w:sz w:val="18"/>
          <w:szCs w:val="18"/>
          <w:lang w:val="en-US"/>
        </w:rPr>
        <w:t>Clearstream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w:t>
      </w:r>
    </w:p>
    <w:p w14:paraId="323C5BA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Pr="00E85EC1">
        <w:rPr>
          <w:rFonts w:ascii="Times New Roman" w:hAnsi="Times New Roman" w:cs="Times New Roman"/>
          <w:sz w:val="18"/>
          <w:szCs w:val="18"/>
          <w:lang w:val="en-US"/>
        </w:rPr>
        <w:t>Clesrstream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Pr="00E85EC1">
        <w:rPr>
          <w:rFonts w:ascii="Times New Roman" w:hAnsi="Times New Roman" w:cs="Times New Roman"/>
          <w:sz w:val="18"/>
          <w:szCs w:val="18"/>
          <w:lang w:val="en-US"/>
        </w:rPr>
        <w:t>Clesrstream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509435AF"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60DC60A0"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0173C31B"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Геополитические риски</w:t>
      </w:r>
    </w:p>
    <w:p w14:paraId="51108247"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w:t>
      </w:r>
      <w:r w:rsidR="00EF2511" w:rsidRPr="00E85EC1">
        <w:rPr>
          <w:rFonts w:ascii="Times New Roman" w:hAnsi="Times New Roman" w:cs="Times New Roman"/>
          <w:sz w:val="18"/>
          <w:szCs w:val="18"/>
        </w:rPr>
        <w:t>в</w:t>
      </w:r>
      <w:r w:rsidRPr="00E85EC1">
        <w:rPr>
          <w:rFonts w:ascii="Times New Roman" w:hAnsi="Times New Roman" w:cs="Times New Roman"/>
          <w:sz w:val="18"/>
          <w:szCs w:val="18"/>
        </w:rPr>
        <w:t xml:space="preserve">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0162C2BA"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44D50BD9"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3C34591A"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w:t>
      </w:r>
      <w:r w:rsidRPr="00E85EC1">
        <w:rPr>
          <w:rFonts w:ascii="Times New Roman" w:hAnsi="Times New Roman" w:cs="Times New Roman"/>
          <w:sz w:val="18"/>
          <w:szCs w:val="18"/>
        </w:rPr>
        <w:lastRenderedPageBreak/>
        <w:t>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3F4B148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Перечень рисков, приведенный в настоящей Декларации, не является исчерпывающим.</w:t>
      </w:r>
    </w:p>
    <w:p w14:paraId="3E5EA5CE"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500B9CDD" w14:textId="77777777" w:rsidR="00DC2F7D" w:rsidRPr="00E85EC1" w:rsidRDefault="00CD72D7"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688D99A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Цель настоящей Декларации - предоставить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w:t>
      </w:r>
      <w:r w:rsidR="00B90565" w:rsidRPr="00E85EC1">
        <w:rPr>
          <w:rFonts w:ascii="Times New Roman" w:hAnsi="Times New Roman" w:cs="Times New Roman"/>
          <w:sz w:val="18"/>
          <w:szCs w:val="18"/>
        </w:rPr>
        <w:t xml:space="preserve">м общую информацию об основных </w:t>
      </w:r>
      <w:r w:rsidRPr="00E85EC1">
        <w:rPr>
          <w:rFonts w:ascii="Times New Roman" w:hAnsi="Times New Roman" w:cs="Times New Roman"/>
          <w:sz w:val="18"/>
          <w:szCs w:val="18"/>
        </w:rPr>
        <w:t>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1B4BC368" w14:textId="77777777" w:rsidR="0040768D" w:rsidRPr="00E85EC1" w:rsidRDefault="0040768D" w:rsidP="0040768D">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производными финансовыми инструментами</w:t>
      </w:r>
    </w:p>
    <w:p w14:paraId="4494214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01CE93D8" w14:textId="77777777" w:rsidR="0040768D" w:rsidRPr="00E85EC1" w:rsidRDefault="0057117E"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Настоящая Д</w:t>
      </w:r>
      <w:r w:rsidR="0040768D" w:rsidRPr="00E85EC1">
        <w:rPr>
          <w:rFonts w:ascii="Times New Roman" w:hAnsi="Times New Roman" w:cs="Times New Roman"/>
          <w:sz w:val="18"/>
          <w:szCs w:val="18"/>
        </w:rPr>
        <w:t xml:space="preserve">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аши производные финансовые инструменты соотносятся с операциями, риски по которым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ы намерены ограничить, и убедитесь, что объем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ашей позиции на срочном рынке соответствует объему позиции на спот рынке, которую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ы хеджируете.</w:t>
      </w:r>
    </w:p>
    <w:p w14:paraId="6D0A6529"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Рыночный (ценовой) риск</w:t>
      </w:r>
    </w:p>
    <w:p w14:paraId="42D7CFBB"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Помимо общего рыночного (ценового) риска, который несет клиент, совершающий операции на рынке ценных бумаг,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6C4910D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 случае неблагоприятного изменения цены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ы можете в сравнительно короткий срок потерять средства, являющиеся обеспечением производных финансовых инструментов. </w:t>
      </w:r>
    </w:p>
    <w:p w14:paraId="4A174AF7"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Риск ликвидности </w:t>
      </w:r>
    </w:p>
    <w:p w14:paraId="7AA3B72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Если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75B7243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Если заключенный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ами договор, являющийся производным финансовым инструментом, неликвиден, и у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0DF46CE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этом труд</w:t>
      </w:r>
      <w:r w:rsidR="00B90565" w:rsidRPr="00E85EC1">
        <w:rPr>
          <w:rFonts w:ascii="Times New Roman" w:hAnsi="Times New Roman" w:cs="Times New Roman"/>
          <w:sz w:val="18"/>
          <w:szCs w:val="18"/>
        </w:rPr>
        <w:t xml:space="preserve">ности с закрытием позиций </w:t>
      </w:r>
      <w:r w:rsidRPr="00E85EC1">
        <w:rPr>
          <w:rFonts w:ascii="Times New Roman" w:hAnsi="Times New Roman" w:cs="Times New Roman"/>
          <w:sz w:val="18"/>
          <w:szCs w:val="18"/>
        </w:rPr>
        <w:t xml:space="preserve">и потери в цене могут привести к увеличению убытков по сравнению с обычными сделками. </w:t>
      </w:r>
    </w:p>
    <w:p w14:paraId="7502B28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ами цене может оказаться невозможным.</w:t>
      </w:r>
    </w:p>
    <w:p w14:paraId="0388ED39"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Ограничение распоряжения средст</w:t>
      </w:r>
      <w:r w:rsidR="0057117E" w:rsidRPr="00E85EC1">
        <w:rPr>
          <w:rFonts w:ascii="Times New Roman" w:hAnsi="Times New Roman" w:cs="Times New Roman"/>
          <w:sz w:val="18"/>
          <w:szCs w:val="18"/>
        </w:rPr>
        <w:t>вами, являющимися обеспечением</w:t>
      </w:r>
    </w:p>
    <w:p w14:paraId="37014C1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Имущество (часть имущества), принадлежащее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 в результате заключения договора, являющегося производным финансовым инструментом, будет являться обеспечением исполнения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обязательств по договору и распоряжение им, то есть возможность совершения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ами сделок с ним, будет ограничено. Размер обеспечения изменяется в порядке, </w:t>
      </w:r>
      <w:r w:rsidRPr="00E85EC1">
        <w:rPr>
          <w:rFonts w:ascii="Times New Roman" w:hAnsi="Times New Roman" w:cs="Times New Roman"/>
          <w:sz w:val="18"/>
          <w:szCs w:val="18"/>
        </w:rPr>
        <w:lastRenderedPageBreak/>
        <w:t xml:space="preserve">предусмотренном договором (спецификацией контракта), и в результате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можете быть ограничены в возможности распоряжаться своим имуществом в большей степени, чем до заключения договора.</w:t>
      </w:r>
    </w:p>
    <w:p w14:paraId="47D10AE3" w14:textId="77777777" w:rsidR="0040768D" w:rsidRPr="00E85EC1" w:rsidRDefault="0040768D" w:rsidP="00B90565">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 принудительного закрытия позиции</w:t>
      </w:r>
    </w:p>
    <w:p w14:paraId="399B7BF5" w14:textId="0FE25E5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что должно быть сделано в короткий срок, которого может быть недостаточно для </w:t>
      </w:r>
      <w:r w:rsidR="0057117E" w:rsidRPr="00E85EC1">
        <w:rPr>
          <w:rFonts w:ascii="Times New Roman" w:hAnsi="Times New Roman" w:cs="Times New Roman"/>
          <w:sz w:val="18"/>
          <w:szCs w:val="18"/>
        </w:rPr>
        <w:t>в</w:t>
      </w:r>
      <w:r w:rsidR="0090551B" w:rsidRPr="00E85EC1">
        <w:rPr>
          <w:rFonts w:ascii="Times New Roman" w:hAnsi="Times New Roman" w:cs="Times New Roman"/>
          <w:sz w:val="18"/>
          <w:szCs w:val="18"/>
        </w:rPr>
        <w:t>ас. в</w:t>
      </w:r>
      <w:r w:rsidRPr="00E85EC1">
        <w:rPr>
          <w:rFonts w:ascii="Times New Roman" w:hAnsi="Times New Roman" w:cs="Times New Roman"/>
          <w:sz w:val="18"/>
          <w:szCs w:val="18"/>
        </w:rPr>
        <w:t xml:space="preserve">аш брокер в этом случае вправе без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денежных средств, или продать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 ценные бумаги. Это может быть сделано по существующим, в том числе невыгодным, ценам и привести к возникновению у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ас убытков.</w:t>
      </w:r>
    </w:p>
    <w:p w14:paraId="1CEF4983"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w:t>
      </w:r>
      <w:r w:rsidR="0057117E" w:rsidRPr="00E85EC1">
        <w:rPr>
          <w:rFonts w:ascii="Times New Roman" w:hAnsi="Times New Roman" w:cs="Times New Roman"/>
          <w:sz w:val="18"/>
          <w:szCs w:val="18"/>
        </w:rPr>
        <w:t>вас направление и в</w:t>
      </w:r>
      <w:r w:rsidRPr="00E85EC1">
        <w:rPr>
          <w:rFonts w:ascii="Times New Roman" w:hAnsi="Times New Roman" w:cs="Times New Roman"/>
          <w:sz w:val="18"/>
          <w:szCs w:val="18"/>
        </w:rPr>
        <w:t xml:space="preserve">ы получили бы доход, если бы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аша позиция не была закрыта. </w:t>
      </w:r>
    </w:p>
    <w:p w14:paraId="22E3E276" w14:textId="77777777" w:rsidR="0040768D" w:rsidRPr="00E85EC1" w:rsidRDefault="0040768D" w:rsidP="00B90565">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обусловленные иностранным происхождением базисного актива</w:t>
      </w:r>
    </w:p>
    <w:p w14:paraId="1B73815E"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Системные риски</w:t>
      </w:r>
    </w:p>
    <w:p w14:paraId="3936A4FA"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0063DCA5" w14:textId="288F3648"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w:t>
      </w:r>
      <w:r w:rsidR="00687BDA" w:rsidRPr="00E85EC1">
        <w:rPr>
          <w:rFonts w:ascii="Times New Roman" w:hAnsi="Times New Roman" w:cs="Times New Roman"/>
          <w:sz w:val="18"/>
          <w:szCs w:val="18"/>
          <w:lang w:val="en-US"/>
        </w:rPr>
        <w:t>RATINGS</w:t>
      </w:r>
      <w:r w:rsidRPr="00E85EC1">
        <w:rPr>
          <w:rFonts w:ascii="Times New Roman" w:hAnsi="Times New Roman" w:cs="Times New Roman"/>
          <w:sz w:val="18"/>
          <w:szCs w:val="18"/>
        </w:rPr>
        <w:t>, однако следует иметь в виду, что рейтинги являются лишь ориентирами и могут в конкретный момент не соответствовать реальной ситуации.</w:t>
      </w:r>
    </w:p>
    <w:p w14:paraId="121466E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w:t>
      </w:r>
      <w:r w:rsidR="0090551B" w:rsidRPr="00E85EC1">
        <w:rPr>
          <w:rFonts w:ascii="Times New Roman" w:hAnsi="Times New Roman" w:cs="Times New Roman"/>
          <w:sz w:val="18"/>
          <w:szCs w:val="18"/>
        </w:rPr>
        <w:t>о указанным договорам, вопреки в</w:t>
      </w:r>
      <w:r w:rsidRPr="00E85EC1">
        <w:rPr>
          <w:rFonts w:ascii="Times New Roman" w:hAnsi="Times New Roman" w:cs="Times New Roman"/>
          <w:sz w:val="18"/>
          <w:szCs w:val="18"/>
        </w:rPr>
        <w:t>ашим планам.</w:t>
      </w:r>
    </w:p>
    <w:p w14:paraId="33BC9844"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652A439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16F266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w:t>
      </w:r>
      <w:r w:rsidR="0090551B" w:rsidRPr="00E85EC1">
        <w:rPr>
          <w:rFonts w:ascii="Times New Roman" w:hAnsi="Times New Roman" w:cs="Times New Roman"/>
          <w:sz w:val="18"/>
          <w:szCs w:val="18"/>
        </w:rPr>
        <w:t>ствующих в России. Кроме того, в</w:t>
      </w:r>
      <w:r w:rsidRPr="00E85EC1">
        <w:rPr>
          <w:rFonts w:ascii="Times New Roman" w:hAnsi="Times New Roman" w:cs="Times New Roman"/>
          <w:sz w:val="18"/>
          <w:szCs w:val="18"/>
        </w:rPr>
        <w:t>ы в большинстве случаев не сможете полагаться на защиту своих прав и законных интересов российскими уполномоченными органами.</w:t>
      </w:r>
    </w:p>
    <w:p w14:paraId="402152FA"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w:t>
      </w:r>
    </w:p>
    <w:p w14:paraId="59790993"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w:t>
      </w:r>
      <w:r w:rsidR="0090551B" w:rsidRPr="00E85EC1">
        <w:rPr>
          <w:rFonts w:ascii="Times New Roman" w:hAnsi="Times New Roman" w:cs="Times New Roman"/>
          <w:sz w:val="18"/>
          <w:szCs w:val="18"/>
        </w:rPr>
        <w:t>зыке, а также то, понимаете ли в</w:t>
      </w:r>
      <w:r w:rsidRPr="00E85EC1">
        <w:rPr>
          <w:rFonts w:ascii="Times New Roman" w:hAnsi="Times New Roman" w:cs="Times New Roman"/>
          <w:sz w:val="18"/>
          <w:szCs w:val="18"/>
        </w:rPr>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371348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российские организаторы торговли и (или) брокеры могут осуществлять перевод некоторых документов (информации), раскрыва</w:t>
      </w:r>
      <w:r w:rsidR="0090551B" w:rsidRPr="00E85EC1">
        <w:rPr>
          <w:rFonts w:ascii="Times New Roman" w:hAnsi="Times New Roman" w:cs="Times New Roman"/>
          <w:sz w:val="18"/>
          <w:szCs w:val="18"/>
        </w:rPr>
        <w:t>емых иностранным эмитентом для в</w:t>
      </w:r>
      <w:r w:rsidRPr="00E85EC1">
        <w:rPr>
          <w:rFonts w:ascii="Times New Roman" w:hAnsi="Times New Roman" w:cs="Times New Roman"/>
          <w:sz w:val="18"/>
          <w:szCs w:val="18"/>
        </w:rPr>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w:t>
      </w:r>
      <w:r w:rsidR="0090551B" w:rsidRPr="00E85EC1">
        <w:rPr>
          <w:rFonts w:ascii="Times New Roman" w:hAnsi="Times New Roman" w:cs="Times New Roman"/>
          <w:sz w:val="18"/>
          <w:szCs w:val="18"/>
        </w:rPr>
        <w:t xml:space="preserve">шибок переводчика, в том числе, </w:t>
      </w:r>
      <w:r w:rsidRPr="00E85EC1">
        <w:rPr>
          <w:rFonts w:ascii="Times New Roman" w:hAnsi="Times New Roman" w:cs="Times New Roman"/>
          <w:sz w:val="18"/>
          <w:szCs w:val="18"/>
        </w:rPr>
        <w:t>связанных с возможным различным переводом одних и тех же иностранных слов и фраз или отсутствием общепринятого русского эквивалента.</w:t>
      </w:r>
    </w:p>
    <w:p w14:paraId="004D418B" w14:textId="0A7A9C29" w:rsidR="00E73DB0"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Учитывая </w:t>
      </w:r>
      <w:r w:rsidR="0090551B" w:rsidRPr="00E85EC1">
        <w:rPr>
          <w:rFonts w:ascii="Times New Roman" w:hAnsi="Times New Roman" w:cs="Times New Roman"/>
          <w:sz w:val="18"/>
          <w:szCs w:val="18"/>
        </w:rPr>
        <w:t>вышеизложенное, мы рекомендуем в</w:t>
      </w:r>
      <w:r w:rsidRPr="00E85EC1">
        <w:rPr>
          <w:rFonts w:ascii="Times New Roman" w:hAnsi="Times New Roman" w:cs="Times New Roman"/>
          <w:sz w:val="18"/>
          <w:szCs w:val="18"/>
        </w:rPr>
        <w:t>ам внимательно рассмотреть вопрос о том, являются ли риски, возникающие при проведении соответству</w:t>
      </w:r>
      <w:r w:rsidR="0090551B" w:rsidRPr="00E85EC1">
        <w:rPr>
          <w:rFonts w:ascii="Times New Roman" w:hAnsi="Times New Roman" w:cs="Times New Roman"/>
          <w:sz w:val="18"/>
          <w:szCs w:val="18"/>
        </w:rPr>
        <w:t>ющих операций, приемлемыми для вас с учетом в</w:t>
      </w:r>
      <w:r w:rsidRPr="00E85EC1">
        <w:rPr>
          <w:rFonts w:ascii="Times New Roman" w:hAnsi="Times New Roman" w:cs="Times New Roman"/>
          <w:sz w:val="18"/>
          <w:szCs w:val="18"/>
        </w:rPr>
        <w:t xml:space="preserve">аших инвестиционных целей и финансовых возможностей. Данная Декларация </w:t>
      </w:r>
      <w:r w:rsidR="0090551B" w:rsidRPr="00E85EC1">
        <w:rPr>
          <w:rFonts w:ascii="Times New Roman" w:hAnsi="Times New Roman" w:cs="Times New Roman"/>
          <w:sz w:val="18"/>
          <w:szCs w:val="18"/>
        </w:rPr>
        <w:t>не имеет своей целью заставить в</w:t>
      </w:r>
      <w:r w:rsidRPr="00E85EC1">
        <w:rPr>
          <w:rFonts w:ascii="Times New Roman" w:hAnsi="Times New Roman" w:cs="Times New Roman"/>
          <w:sz w:val="18"/>
          <w:szCs w:val="18"/>
        </w:rPr>
        <w:t>ас отказаться от осуществления так</w:t>
      </w:r>
      <w:r w:rsidR="0090551B" w:rsidRPr="00E85EC1">
        <w:rPr>
          <w:rFonts w:ascii="Times New Roman" w:hAnsi="Times New Roman" w:cs="Times New Roman"/>
          <w:sz w:val="18"/>
          <w:szCs w:val="18"/>
        </w:rPr>
        <w:t>их операций, а призвана помочь в</w:t>
      </w:r>
      <w:r w:rsidRPr="00E85EC1">
        <w:rPr>
          <w:rFonts w:ascii="Times New Roman" w:hAnsi="Times New Roman" w:cs="Times New Roman"/>
          <w:sz w:val="18"/>
          <w:szCs w:val="18"/>
        </w:rPr>
        <w:t>ам оценить их риски и ответственно подо</w:t>
      </w:r>
      <w:r w:rsidR="0090551B" w:rsidRPr="00E85EC1">
        <w:rPr>
          <w:rFonts w:ascii="Times New Roman" w:hAnsi="Times New Roman" w:cs="Times New Roman"/>
          <w:sz w:val="18"/>
          <w:szCs w:val="18"/>
        </w:rPr>
        <w:t>йти к решению вопроса о выборе в</w:t>
      </w:r>
      <w:r w:rsidRPr="00E85EC1">
        <w:rPr>
          <w:rFonts w:ascii="Times New Roman" w:hAnsi="Times New Roman" w:cs="Times New Roman"/>
          <w:sz w:val="18"/>
          <w:szCs w:val="18"/>
        </w:rPr>
        <w:t xml:space="preserve">ашей инвестиционной </w:t>
      </w:r>
      <w:r w:rsidR="0090551B" w:rsidRPr="00E85EC1">
        <w:rPr>
          <w:rFonts w:ascii="Times New Roman" w:hAnsi="Times New Roman" w:cs="Times New Roman"/>
          <w:sz w:val="18"/>
          <w:szCs w:val="18"/>
        </w:rPr>
        <w:t>стратегии и условий договора с в</w:t>
      </w:r>
      <w:r w:rsidRPr="00E85EC1">
        <w:rPr>
          <w:rFonts w:ascii="Times New Roman" w:hAnsi="Times New Roman" w:cs="Times New Roman"/>
          <w:sz w:val="18"/>
          <w:szCs w:val="18"/>
        </w:rPr>
        <w:t>ашим брокер</w:t>
      </w:r>
      <w:r w:rsidR="0036478D" w:rsidRPr="00E85EC1">
        <w:rPr>
          <w:rFonts w:ascii="Times New Roman" w:hAnsi="Times New Roman" w:cs="Times New Roman"/>
          <w:sz w:val="18"/>
          <w:szCs w:val="18"/>
        </w:rPr>
        <w:t>ом</w:t>
      </w:r>
      <w:r w:rsidRPr="00E85EC1">
        <w:rPr>
          <w:rFonts w:ascii="Times New Roman" w:hAnsi="Times New Roman" w:cs="Times New Roman"/>
          <w:sz w:val="18"/>
          <w:szCs w:val="18"/>
        </w:rPr>
        <w:t>.</w:t>
      </w:r>
    </w:p>
    <w:p w14:paraId="2ED828CB" w14:textId="77777777" w:rsidR="00E73DB0" w:rsidRPr="00E85EC1" w:rsidRDefault="00E73DB0" w:rsidP="00543B39">
      <w:pPr>
        <w:pStyle w:val="a3"/>
        <w:numPr>
          <w:ilvl w:val="0"/>
          <w:numId w:val="1"/>
        </w:num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векселей</w:t>
      </w:r>
    </w:p>
    <w:p w14:paraId="35A1CF89"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Настоящая Декларация раскрывает специальные риски, связанные с приобретением векселей. Обращаем ваше внимание на то, что настоящая Декларация не раскрывает информацию обо всех рисках, связанных с приобретением векселей вследствие разнообразия возникающих ситуаций.</w:t>
      </w:r>
    </w:p>
    <w:p w14:paraId="1BA39031"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Законодательством о переводном и простом векселе установлены требования к содержанию векселя, порядку его акцепта, порядку его передачи, порядку и сроку платежа и др. Учитывая, что несоблюдение требований к содержанию векселя, к его обороту может значительно повлиять на возможность реализации прав, закрепленных векселем, либо даже сделать невозможным реализацию таких прав, вам необходимо убедится в том, что приобретаемый вексель соответствует вексельному законодательству, а ваше право будет основано на непрерывном ряде индоссаментов.</w:t>
      </w:r>
    </w:p>
    <w:p w14:paraId="6CDF5DF9"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 является документарной ценной бумагой и должен быть составлен только на бумаге (бумажном носителе), а реализация прав по векселю связана с наличием у векселедержателя самого векселя. Несмотря на то, что гражданским законодательством установлен порядок восстановления прав по документарной ценной бумаге, векселедержатель несет риск утраты векселя и, как следствие, невозможности реализации закрепленного им права.</w:t>
      </w:r>
    </w:p>
    <w:p w14:paraId="5024FFCF"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Векселя передаются посредством проставления специальной передаточной надписи – индоссамента, а права векселедержателя основаны на непрерывном ряде индоссаментов. По общему правилу, индоссант (лицо, передавшее вексель посредством индоссамента) отвечает за акцепт и за платеж, а все индоссировавшие вексель (наряду с векселедателем, акцептантом или вексельным поручителем (поручителями)) солидарно обязаны перед векселедержателем, при этом векселедержатель имеет право предъявления иска ко всем этим лицам, к каждому в отдельности и ко всем вместе, а последовательность, в которой эти лица обязывались по векселю, во внимание не берется. Поэтому вам необходимо оценить приемлемость вашей ответственности по векселю.</w:t>
      </w:r>
    </w:p>
    <w:p w14:paraId="367686D6"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Вексельное законодательство, устанавливая солидарную ответственность лиц, выдавших, акцептовавших, индоссировавших вексель или поставивших на нем аваль (вексельное поручительство), связывает солидарную ответственность таких лиц с соблюдением векселедержателем сроков и процедуры протеста в неакцепте или неплатеже, уведомлением векселедателя и своего индоссанта, что связно с дополнительными расходами, поэтому вам необходимо оценить приемлемость дополнительных издержек.</w:t>
      </w:r>
    </w:p>
    <w:p w14:paraId="7C1F8306"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 не является эмиссионной ценной бумагой, поэтому лицо, выдавшее вексель (векселедатель) не обязано раскрывать данных о себе, о своем финансовом положении, выдача векселя не сопровождается регистрацией со стороны контролирующих органов, поэтому приобретение векселя связано с наличием кредитного риска (риска неисполнения обязательств лицами, обязанными по векселю). Таким образом, при выборе векселя Вам необходимо убедиться в том, что векселедатель либо акцептант являются платежеспособными.</w:t>
      </w:r>
    </w:p>
    <w:p w14:paraId="03005CB0" w14:textId="55C4294B" w:rsidR="00C1435F"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3FB628C5" w14:textId="77777777" w:rsidR="00370C69" w:rsidRPr="00E85EC1" w:rsidRDefault="00370C69" w:rsidP="00370C69">
      <w:pPr>
        <w:pStyle w:val="a3"/>
        <w:numPr>
          <w:ilvl w:val="0"/>
          <w:numId w:val="1"/>
        </w:num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индивидуальными инвестиционными счетами.</w:t>
      </w:r>
    </w:p>
    <w:p w14:paraId="210F589D" w14:textId="77777777" w:rsidR="00902A94" w:rsidRPr="00762C07" w:rsidRDefault="00902A94" w:rsidP="00E85EC1">
      <w:pPr>
        <w:autoSpaceDE w:val="0"/>
        <w:autoSpaceDN w:val="0"/>
        <w:adjustRightInd w:val="0"/>
        <w:spacing w:after="120" w:line="240" w:lineRule="auto"/>
        <w:jc w:val="both"/>
        <w:rPr>
          <w:rFonts w:ascii="Times New Roman" w:hAnsi="Times New Roman" w:cs="Times New Roman"/>
          <w:i/>
          <w:sz w:val="18"/>
          <w:szCs w:val="18"/>
        </w:rPr>
      </w:pPr>
      <w:r w:rsidRPr="00762C07">
        <w:rPr>
          <w:rFonts w:ascii="Times New Roman" w:hAnsi="Times New Roman" w:cs="Times New Roman"/>
          <w:i/>
          <w:sz w:val="18"/>
          <w:szCs w:val="18"/>
        </w:rPr>
        <w:t>Декларация о рисках в отношении Договора о брокерском обслуживании, предусматривающего ведение индивидуального инвестиционного счета, заключенного в период с 01.01.2015 по 31.12.2023 включительно:</w:t>
      </w:r>
    </w:p>
    <w:p w14:paraId="4A46ED06" w14:textId="6E2BCAC8" w:rsidR="00370C69" w:rsidRPr="00E85EC1" w:rsidRDefault="00C21651"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з</w:t>
      </w:r>
      <w:r w:rsidR="00370C69" w:rsidRPr="00E85EC1">
        <w:rPr>
          <w:rFonts w:ascii="Times New Roman" w:hAnsi="Times New Roman" w:cs="Times New Roman"/>
          <w:sz w:val="18"/>
          <w:szCs w:val="18"/>
        </w:rPr>
        <w:t xml:space="preserve">аключаемый вами </w:t>
      </w:r>
      <w:r w:rsidRPr="00E85EC1">
        <w:rPr>
          <w:rFonts w:ascii="Times New Roman" w:hAnsi="Times New Roman" w:cs="Times New Roman"/>
          <w:sz w:val="18"/>
          <w:szCs w:val="18"/>
        </w:rPr>
        <w:t>договор о брокерском обслуживании</w:t>
      </w:r>
      <w:r w:rsidR="00370C69" w:rsidRPr="00E85EC1">
        <w:rPr>
          <w:rFonts w:ascii="Times New Roman" w:hAnsi="Times New Roman" w:cs="Times New Roman"/>
          <w:sz w:val="18"/>
          <w:szCs w:val="18"/>
        </w:rPr>
        <w:t xml:space="preserve"> связан с ведением индивидуального инвестиционного счета, </w:t>
      </w:r>
      <w:r w:rsidR="00605879" w:rsidRPr="00E85EC1">
        <w:rPr>
          <w:rFonts w:ascii="Times New Roman" w:hAnsi="Times New Roman" w:cs="Times New Roman"/>
          <w:sz w:val="18"/>
          <w:szCs w:val="18"/>
        </w:rPr>
        <w:t>то он</w:t>
      </w:r>
      <w:r w:rsidR="00370C69" w:rsidRPr="00E85EC1">
        <w:rPr>
          <w:rFonts w:ascii="Times New Roman" w:hAnsi="Times New Roman" w:cs="Times New Roman"/>
          <w:sz w:val="18"/>
          <w:szCs w:val="18"/>
        </w:rPr>
        <w:t xml:space="preserve">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1DFFE8C2"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Существует два варианта инвестиционных налоговых вычетов:</w:t>
      </w:r>
    </w:p>
    <w:p w14:paraId="7D910B54"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406C7FD7"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1D712B5B"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19990A24" w14:textId="048016CF"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Вам следует иметь в виду также то, что если вы прекратите ваш </w:t>
      </w:r>
      <w:r w:rsidR="00605879" w:rsidRPr="00E85EC1">
        <w:rPr>
          <w:rFonts w:ascii="Times New Roman" w:hAnsi="Times New Roman" w:cs="Times New Roman"/>
          <w:sz w:val="18"/>
          <w:szCs w:val="18"/>
        </w:rPr>
        <w:t>договор о брокерском обслуживании, предусматривающий открытие и ведение индивидуального инвестиционного счета,</w:t>
      </w:r>
      <w:r w:rsidRPr="00E85EC1">
        <w:rPr>
          <w:rFonts w:ascii="Times New Roman" w:hAnsi="Times New Roman" w:cs="Times New Roman"/>
          <w:sz w:val="18"/>
          <w:szCs w:val="18"/>
        </w:rPr>
        <w:t xml:space="preserve">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1F26D6E1"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 брокер не знает о вашем выборе варианта инвестиционного налогового вычета и не участвует в ваших отношениях с налоговой службой.</w:t>
      </w:r>
    </w:p>
    <w:p w14:paraId="300E3A60"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70B35415" w14:textId="1852A907" w:rsidR="00902A94" w:rsidRPr="00762C07" w:rsidRDefault="00902A94" w:rsidP="00902A94">
      <w:pPr>
        <w:spacing w:before="120" w:after="120" w:line="240" w:lineRule="auto"/>
        <w:mirrorIndents/>
        <w:jc w:val="both"/>
        <w:rPr>
          <w:rFonts w:ascii="Times New Roman" w:hAnsi="Times New Roman" w:cs="Times New Roman"/>
          <w:i/>
          <w:sz w:val="18"/>
          <w:szCs w:val="18"/>
        </w:rPr>
      </w:pPr>
      <w:r w:rsidRPr="00762C07">
        <w:rPr>
          <w:rFonts w:ascii="Times New Roman" w:hAnsi="Times New Roman" w:cs="Times New Roman"/>
          <w:i/>
          <w:sz w:val="18"/>
          <w:szCs w:val="18"/>
        </w:rPr>
        <w:t>Декларация о рисках в отношении Договора о брокерском обслуживании, предусматривающего ведение индивидуального инвестиционного счета, открытого, начиная с 01.01.2024:</w:t>
      </w:r>
    </w:p>
    <w:p w14:paraId="1CC7C809" w14:textId="77777777" w:rsidR="00796563" w:rsidRPr="00ED4383" w:rsidRDefault="00796563" w:rsidP="00796563">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Договор о брокерском обслуживании, связанный с ведением индивидуального инвестиционного счета, позволяет вам получить налоговый</w:t>
      </w:r>
      <w:r>
        <w:rPr>
          <w:rFonts w:ascii="Times New Roman" w:hAnsi="Times New Roman" w:cs="Times New Roman"/>
          <w:sz w:val="18"/>
          <w:szCs w:val="18"/>
        </w:rPr>
        <w:t xml:space="preserve"> </w:t>
      </w:r>
      <w:r w:rsidRPr="00ED4383">
        <w:rPr>
          <w:rFonts w:ascii="Times New Roman" w:hAnsi="Times New Roman" w:cs="Times New Roman"/>
          <w:sz w:val="18"/>
          <w:szCs w:val="18"/>
        </w:rPr>
        <w:t>вычет на долгосрочные сбережения граждан. Все риски, которые упомянуты в Декларации об общих рисках, связанных с осуществлением операций на рынке ценных бумаг,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3751D4F7" w14:textId="77777777" w:rsidR="00796563" w:rsidRPr="00ED4383" w:rsidRDefault="00796563" w:rsidP="00796563">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Существует два вида налоговых вычета на долгосрочные сбережения граждан, связанных с индивидуальными инвестиционными счетами:</w:t>
      </w:r>
    </w:p>
    <w:p w14:paraId="5963DD72" w14:textId="77777777" w:rsidR="00796563" w:rsidRPr="00ED4383" w:rsidRDefault="00796563" w:rsidP="00796563">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673356D2" w14:textId="77777777" w:rsidR="00796563" w:rsidRPr="00ED4383" w:rsidRDefault="00796563" w:rsidP="00796563">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3796B285" w14:textId="77777777" w:rsidR="00796563" w:rsidRPr="00ED4383" w:rsidRDefault="00796563" w:rsidP="00796563">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27C15D8A" w14:textId="37409B6E" w:rsidR="00370C69" w:rsidRPr="00E85EC1" w:rsidRDefault="00796563" w:rsidP="00902A94">
      <w:pPr>
        <w:spacing w:before="120" w:after="120" w:line="240" w:lineRule="auto"/>
        <w:mirrorIndents/>
        <w:jc w:val="both"/>
        <w:rPr>
          <w:rFonts w:ascii="Times New Roman" w:hAnsi="Times New Roman" w:cs="Times New Roman"/>
          <w:sz w:val="18"/>
          <w:szCs w:val="18"/>
        </w:rPr>
      </w:pPr>
      <w:r w:rsidRPr="00ED4383">
        <w:rPr>
          <w:rFonts w:ascii="Times New Roman" w:hAnsi="Times New Roman" w:cs="Times New Roman"/>
          <w:sz w:val="18"/>
          <w:szCs w:val="18"/>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r w:rsidR="00902A94" w:rsidRPr="00902A94">
        <w:rPr>
          <w:rFonts w:ascii="Times New Roman" w:hAnsi="Times New Roman" w:cs="Times New Roman"/>
          <w:sz w:val="18"/>
          <w:szCs w:val="18"/>
        </w:rPr>
        <w:t>.</w:t>
      </w:r>
    </w:p>
    <w:p w14:paraId="0137736D" w14:textId="6109F413" w:rsidR="00370C69" w:rsidRPr="00E85EC1" w:rsidRDefault="00467739" w:rsidP="00E85EC1">
      <w:pPr>
        <w:pStyle w:val="a3"/>
        <w:autoSpaceDE w:val="0"/>
        <w:autoSpaceDN w:val="0"/>
        <w:adjustRightInd w:val="0"/>
        <w:spacing w:before="120" w:after="120" w:line="240" w:lineRule="auto"/>
        <w:mirrorIndents/>
        <w:jc w:val="center"/>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Уведомления</w:t>
      </w:r>
    </w:p>
    <w:p w14:paraId="55E5796F" w14:textId="5F706CD1" w:rsidR="00467739" w:rsidRPr="00E85EC1" w:rsidRDefault="00467739" w:rsidP="00467739">
      <w:pPr>
        <w:pStyle w:val="a3"/>
        <w:autoSpaceDE w:val="0"/>
        <w:autoSpaceDN w:val="0"/>
        <w:adjustRightInd w:val="0"/>
        <w:spacing w:before="120" w:after="120" w:line="240" w:lineRule="auto"/>
        <w:mirrorIndents/>
        <w:jc w:val="both"/>
        <w:rPr>
          <w:rFonts w:ascii="Times New Roman" w:eastAsia="MS Gothic" w:hAnsi="Times New Roman" w:cs="Times New Roman"/>
          <w:b/>
          <w:sz w:val="20"/>
          <w:szCs w:val="20"/>
        </w:rPr>
      </w:pPr>
    </w:p>
    <w:p w14:paraId="06E120BC" w14:textId="507C38B5"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bookmarkStart w:id="0" w:name="_Hlk140052401"/>
      <w:r w:rsidRPr="00E85EC1">
        <w:rPr>
          <w:rFonts w:ascii="Times New Roman" w:eastAsia="MS Gothic" w:hAnsi="Times New Roman" w:cs="Times New Roman"/>
          <w:b/>
          <w:sz w:val="20"/>
          <w:szCs w:val="20"/>
        </w:rPr>
        <w:t>Уведомление об общем характере и/или источниках конфликта интересов</w:t>
      </w:r>
    </w:p>
    <w:p w14:paraId="05B19249"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Настоящее уведомление создано с целью информирования Клиента об общем характере и (или) источниках конфликта интересов.</w:t>
      </w:r>
    </w:p>
    <w:p w14:paraId="0845A0A9"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72313853"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w:t>
      </w:r>
      <w:r w:rsidRPr="00E85EC1">
        <w:rPr>
          <w:rFonts w:ascii="Times New Roman" w:hAnsi="Times New Roman" w:cs="Times New Roman"/>
          <w:sz w:val="18"/>
          <w:szCs w:val="18"/>
        </w:rPr>
        <w:lastRenderedPageBreak/>
        <w:t>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4ACC8C"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0196159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участие Компании в сделке с разных сторон в интересах разных Клиентов;</w:t>
      </w:r>
    </w:p>
    <w:p w14:paraId="75C6151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4B2332A0"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2059F679"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несовпадение интересов Компании, работников аналитического подразделения Компании и Клиента (-</w:t>
      </w:r>
      <w:proofErr w:type="spellStart"/>
      <w:r w:rsidRPr="00E85EC1">
        <w:rPr>
          <w:rFonts w:ascii="Times New Roman" w:eastAsia="MS Gothic" w:hAnsi="Times New Roman" w:cs="Times New Roman"/>
          <w:sz w:val="18"/>
          <w:szCs w:val="18"/>
        </w:rPr>
        <w:t>ов</w:t>
      </w:r>
      <w:proofErr w:type="spellEnd"/>
      <w:r w:rsidRPr="00E85EC1">
        <w:rPr>
          <w:rFonts w:ascii="Times New Roman" w:eastAsia="MS Gothic" w:hAnsi="Times New Roman" w:cs="Times New Roman"/>
          <w:sz w:val="18"/>
          <w:szCs w:val="18"/>
        </w:rPr>
        <w:t>) в процессе подготовки работниками Компании инвестиционно-аналитических исследований;</w:t>
      </w:r>
    </w:p>
    <w:p w14:paraId="36514B56"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67C3F1BD"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совмещение Компанией нескольких видов профессиональной деятельности на рынке ценных бумаг;</w:t>
      </w:r>
    </w:p>
    <w:p w14:paraId="63C9A006" w14:textId="5697B6E9" w:rsidR="00370C69" w:rsidRPr="00E85EC1" w:rsidRDefault="00467739" w:rsidP="00E85EC1">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bookmarkEnd w:id="0"/>
    </w:p>
    <w:p w14:paraId="6C7F20FC"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Уведомление о рисках использования брокером в своих интересах денежных средств и/или ценных бумаг клиента</w:t>
      </w:r>
    </w:p>
    <w:p w14:paraId="6421653F" w14:textId="00861238" w:rsidR="00467739" w:rsidRPr="00E85EC1" w:rsidRDefault="00467739" w:rsidP="00467739">
      <w:pPr>
        <w:autoSpaceDE w:val="0"/>
        <w:autoSpaceDN w:val="0"/>
        <w:adjustRightInd w:val="0"/>
        <w:spacing w:before="120" w:after="120" w:line="240" w:lineRule="auto"/>
        <w:ind w:left="34"/>
        <w:mirrorIndents/>
        <w:jc w:val="both"/>
        <w:rPr>
          <w:rFonts w:ascii="Times New Roman" w:hAnsi="Times New Roman" w:cs="Times New Roman"/>
          <w:sz w:val="18"/>
          <w:szCs w:val="18"/>
        </w:rPr>
      </w:pPr>
      <w:r w:rsidRPr="00E85EC1">
        <w:rPr>
          <w:rFonts w:ascii="Times New Roman" w:hAnsi="Times New Roman" w:cs="Times New Roman"/>
          <w:sz w:val="18"/>
          <w:szCs w:val="18"/>
        </w:rPr>
        <w:t>1. Риски, связанные с использованием брокером денежных средств клиента в своих интересах</w:t>
      </w:r>
    </w:p>
    <w:p w14:paraId="70360BE8" w14:textId="77777777" w:rsidR="00467739" w:rsidRPr="00E85EC1" w:rsidRDefault="00467739" w:rsidP="00467739">
      <w:pPr>
        <w:autoSpaceDE w:val="0"/>
        <w:autoSpaceDN w:val="0"/>
        <w:adjustRightInd w:val="0"/>
        <w:spacing w:after="0" w:line="240" w:lineRule="auto"/>
        <w:jc w:val="both"/>
        <w:rPr>
          <w:rFonts w:ascii="Times New Roman" w:hAnsi="Times New Roman" w:cs="Times New Roman"/>
          <w:sz w:val="18"/>
          <w:szCs w:val="18"/>
        </w:rPr>
      </w:pPr>
      <w:r w:rsidRPr="00E85EC1">
        <w:rPr>
          <w:rFonts w:ascii="Times New Roman" w:hAnsi="Times New Roman" w:cs="Times New Roman"/>
          <w:sz w:val="18"/>
          <w:szCs w:val="18"/>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 не позднее рабочего дня, следующего за днем получения требования Клиента о возврате денежных средств.</w:t>
      </w:r>
    </w:p>
    <w:p w14:paraId="6473C44E" w14:textId="77777777" w:rsidR="00467739" w:rsidRPr="00E85EC1" w:rsidRDefault="00467739" w:rsidP="00467739">
      <w:pPr>
        <w:pStyle w:val="a3"/>
        <w:tabs>
          <w:tab w:val="left" w:pos="1134"/>
        </w:tabs>
        <w:spacing w:before="120" w:after="120" w:line="240" w:lineRule="auto"/>
        <w:ind w:left="32"/>
        <w:contextualSpacing w:val="0"/>
        <w:mirrorIndents/>
        <w:jc w:val="both"/>
        <w:rPr>
          <w:rFonts w:ascii="Times New Roman" w:hAnsi="Times New Roman" w:cs="Times New Roman"/>
          <w:sz w:val="18"/>
          <w:szCs w:val="18"/>
        </w:rPr>
      </w:pPr>
      <w:r w:rsidRPr="00E85EC1">
        <w:rPr>
          <w:rFonts w:ascii="Times New Roman" w:hAnsi="Times New Roman" w:cs="Times New Roman"/>
          <w:sz w:val="18"/>
          <w:szCs w:val="18"/>
        </w:rPr>
        <w:t>В то же время, при использовании брокером денежных средств Клиента в собственных интересах у Клиента возникают следующие риски:</w:t>
      </w:r>
    </w:p>
    <w:p w14:paraId="483EDC72" w14:textId="77777777" w:rsidR="00467739" w:rsidRPr="00E85EC1" w:rsidRDefault="00467739" w:rsidP="00467739">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брокера либо сбоя программного обеспечения;</w:t>
      </w:r>
    </w:p>
    <w:p w14:paraId="2E9BE1C6" w14:textId="77777777" w:rsidR="00467739" w:rsidRPr="00E85EC1" w:rsidRDefault="00467739" w:rsidP="00467739">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неплатежа по сделке, связанный с недостачей денежных средств.</w:t>
      </w:r>
    </w:p>
    <w:p w14:paraId="2D313309" w14:textId="77777777"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в случае зачисления денежных средств Клиента на собственный банковский счет брокера, указанные выше риски могут возникнуть как из-за отсутствия на счете брокера достаточного количества денежных средств, так и из-за обращения взыскания на имущество брокера или невозможности осуществить операцию по банковскому счету брокера в виду приставления операций по нему в случаях, установленных законодательством.</w:t>
      </w:r>
    </w:p>
    <w:p w14:paraId="537FAC65" w14:textId="25EE7889"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xml:space="preserve">) </w:t>
      </w:r>
      <w:r w:rsidRPr="00E85EC1">
        <w:rPr>
          <w:rFonts w:ascii="Times New Roman" w:hAnsi="Times New Roman" w:cs="Times New Roman"/>
          <w:sz w:val="18"/>
          <w:szCs w:val="18"/>
          <w:lang w:val="en-US"/>
        </w:rPr>
        <w:t>c</w:t>
      </w:r>
      <w:r w:rsidRPr="00E85EC1">
        <w:rPr>
          <w:rFonts w:ascii="Times New Roman" w:hAnsi="Times New Roman" w:cs="Times New Roman"/>
          <w:sz w:val="18"/>
          <w:szCs w:val="18"/>
        </w:rPr>
        <w:t xml:space="preserve"> отметкой об отказе от предоставления Компании соответствующего права. Такое заявление направляется в соответствии с порядком, установленным </w:t>
      </w:r>
      <w:r w:rsidR="00415599" w:rsidRPr="00E85EC1">
        <w:rPr>
          <w:rFonts w:ascii="Times New Roman" w:hAnsi="Times New Roman" w:cs="Times New Roman"/>
          <w:sz w:val="18"/>
          <w:szCs w:val="18"/>
        </w:rPr>
        <w:t>ч</w:t>
      </w:r>
      <w:r w:rsidRPr="00E85EC1">
        <w:rPr>
          <w:rFonts w:ascii="Times New Roman" w:hAnsi="Times New Roman" w:cs="Times New Roman"/>
          <w:sz w:val="18"/>
          <w:szCs w:val="18"/>
        </w:rPr>
        <w:t xml:space="preserve">астью 2 Регламента </w:t>
      </w:r>
      <w:r w:rsidR="00C21651"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1BE2E371" w14:textId="46796A22" w:rsidR="00E57CAC" w:rsidRPr="00E57CAC" w:rsidRDefault="00467739" w:rsidP="00E57CAC">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такой отказ влечет невозможность совершения Клиентом </w:t>
      </w:r>
      <w:r w:rsidR="00E57CAC" w:rsidRPr="00E57CAC">
        <w:rPr>
          <w:rFonts w:ascii="Times New Roman" w:hAnsi="Times New Roman" w:cs="Times New Roman"/>
          <w:sz w:val="18"/>
          <w:szCs w:val="18"/>
        </w:rPr>
        <w:t xml:space="preserve">сделок и договоров, перечисленных в п. 1.5.7 Регламента </w:t>
      </w:r>
      <w:r w:rsidR="00E57CAC">
        <w:rPr>
          <w:rFonts w:ascii="Times New Roman" w:hAnsi="Times New Roman" w:cs="Times New Roman"/>
          <w:sz w:val="18"/>
          <w:szCs w:val="18"/>
        </w:rPr>
        <w:t>брокерского</w:t>
      </w:r>
      <w:r w:rsidR="00E57CAC" w:rsidRPr="00E57CAC">
        <w:rPr>
          <w:rFonts w:ascii="Times New Roman" w:hAnsi="Times New Roman" w:cs="Times New Roman"/>
          <w:sz w:val="18"/>
          <w:szCs w:val="18"/>
        </w:rPr>
        <w:t xml:space="preserve">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p>
    <w:p w14:paraId="6225D40A" w14:textId="2871B51B" w:rsidR="00E57CAC" w:rsidRPr="00E85EC1" w:rsidRDefault="00E57CAC" w:rsidP="00E57CAC">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57CAC">
        <w:rPr>
          <w:rFonts w:ascii="Times New Roman" w:hAnsi="Times New Roman" w:cs="Times New Roman"/>
          <w:sz w:val="18"/>
          <w:szCs w:val="18"/>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рокерского обслуживания на условиях Единого лимита. В этом случае отказ Клиента от оказания ему Брокерского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рокерского обслуживания на условиях Единого лимита в таком Заявлении об изменении условий </w:t>
      </w:r>
      <w:r>
        <w:rPr>
          <w:rFonts w:ascii="Times New Roman" w:hAnsi="Times New Roman" w:cs="Times New Roman"/>
          <w:sz w:val="18"/>
          <w:szCs w:val="18"/>
        </w:rPr>
        <w:t>б</w:t>
      </w:r>
      <w:r w:rsidRPr="00E57CAC">
        <w:rPr>
          <w:rFonts w:ascii="Times New Roman" w:hAnsi="Times New Roman" w:cs="Times New Roman"/>
          <w:sz w:val="18"/>
          <w:szCs w:val="18"/>
        </w:rPr>
        <w:t>рокерского обслуживания (Приложение № 1</w:t>
      </w:r>
      <w:r>
        <w:rPr>
          <w:rFonts w:ascii="Times New Roman" w:hAnsi="Times New Roman" w:cs="Times New Roman"/>
          <w:sz w:val="18"/>
          <w:szCs w:val="18"/>
        </w:rPr>
        <w:t>.2</w:t>
      </w:r>
      <w:r w:rsidRPr="00E57CAC">
        <w:rPr>
          <w:rFonts w:ascii="Times New Roman" w:hAnsi="Times New Roman" w:cs="Times New Roman"/>
          <w:sz w:val="18"/>
          <w:szCs w:val="18"/>
        </w:rPr>
        <w:t xml:space="preserve"> к Регламента </w:t>
      </w:r>
      <w:r>
        <w:rPr>
          <w:rFonts w:ascii="Times New Roman" w:hAnsi="Times New Roman" w:cs="Times New Roman"/>
          <w:sz w:val="18"/>
          <w:szCs w:val="18"/>
        </w:rPr>
        <w:t>брокерского</w:t>
      </w:r>
      <w:r w:rsidRPr="00E57CAC">
        <w:rPr>
          <w:rFonts w:ascii="Times New Roman" w:hAnsi="Times New Roman" w:cs="Times New Roman"/>
          <w:sz w:val="18"/>
          <w:szCs w:val="18"/>
        </w:rPr>
        <w:t xml:space="preserve"> обслуживания</w:t>
      </w:r>
      <w:r>
        <w:rPr>
          <w:rFonts w:ascii="Times New Roman" w:hAnsi="Times New Roman" w:cs="Times New Roman"/>
          <w:sz w:val="18"/>
          <w:szCs w:val="18"/>
        </w:rPr>
        <w:t xml:space="preserve"> </w:t>
      </w:r>
      <w:r w:rsidR="00D525B5">
        <w:rPr>
          <w:rFonts w:ascii="Times New Roman" w:hAnsi="Times New Roman" w:cs="Times New Roman"/>
          <w:sz w:val="18"/>
          <w:szCs w:val="18"/>
        </w:rPr>
        <w:t>А</w:t>
      </w:r>
      <w:r w:rsidRPr="00E57CAC">
        <w:rPr>
          <w:rFonts w:ascii="Times New Roman" w:hAnsi="Times New Roman" w:cs="Times New Roman"/>
          <w:sz w:val="18"/>
          <w:szCs w:val="18"/>
        </w:rPr>
        <w:t>О «</w:t>
      </w:r>
      <w:r w:rsidR="00D525B5">
        <w:rPr>
          <w:rFonts w:ascii="Times New Roman" w:hAnsi="Times New Roman" w:cs="Times New Roman"/>
          <w:sz w:val="18"/>
          <w:szCs w:val="18"/>
        </w:rPr>
        <w:t>И</w:t>
      </w:r>
      <w:r w:rsidRPr="00E57CAC">
        <w:rPr>
          <w:rFonts w:ascii="Times New Roman" w:hAnsi="Times New Roman" w:cs="Times New Roman"/>
          <w:sz w:val="18"/>
          <w:szCs w:val="18"/>
        </w:rPr>
        <w:t>К «Горизонт»).</w:t>
      </w:r>
    </w:p>
    <w:p w14:paraId="4412A6DE" w14:textId="06BD4E83" w:rsidR="00467739" w:rsidRPr="00E85EC1" w:rsidRDefault="00467739" w:rsidP="00E57CAC">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2. Риски, связанные с использованием брокером ценных бумаг клиента в своих интересах</w:t>
      </w:r>
    </w:p>
    <w:p w14:paraId="1A98690B" w14:textId="218F7512" w:rsidR="00467739" w:rsidRPr="00E85EC1" w:rsidRDefault="00467739" w:rsidP="00467739">
      <w:pPr>
        <w:tabs>
          <w:tab w:val="left" w:pos="1134"/>
        </w:tabs>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r w:rsidR="00C21651" w:rsidRPr="00E85EC1">
        <w:rPr>
          <w:rFonts w:ascii="Times New Roman" w:hAnsi="Times New Roman" w:cs="Times New Roman"/>
          <w:sz w:val="18"/>
          <w:szCs w:val="18"/>
        </w:rPr>
        <w:t xml:space="preserve"> о брокерском обслуживании</w:t>
      </w:r>
      <w:r w:rsidRPr="00E85EC1">
        <w:rPr>
          <w:rFonts w:ascii="Times New Roman" w:hAnsi="Times New Roman" w:cs="Times New Roman"/>
          <w:sz w:val="18"/>
          <w:szCs w:val="18"/>
        </w:rPr>
        <w:t>.</w:t>
      </w:r>
    </w:p>
    <w:p w14:paraId="64028F07"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w:t>
      </w:r>
      <w:r w:rsidRPr="00E85EC1">
        <w:rPr>
          <w:rFonts w:ascii="Times New Roman" w:hAnsi="Times New Roman" w:cs="Times New Roman"/>
          <w:sz w:val="18"/>
          <w:szCs w:val="18"/>
        </w:rPr>
        <w:lastRenderedPageBreak/>
        <w:t>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5135FD0C"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F3998B7"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7FA478C5"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63BA2B07" w14:textId="138D16E4"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415599" w:rsidRPr="00E85EC1">
        <w:rPr>
          <w:rFonts w:ascii="Times New Roman" w:hAnsi="Times New Roman" w:cs="Times New Roman"/>
          <w:sz w:val="18"/>
          <w:szCs w:val="18"/>
        </w:rPr>
        <w:t>ч</w:t>
      </w:r>
      <w:r w:rsidRPr="00E85EC1">
        <w:rPr>
          <w:rFonts w:ascii="Times New Roman" w:hAnsi="Times New Roman" w:cs="Times New Roman"/>
          <w:sz w:val="18"/>
          <w:szCs w:val="18"/>
        </w:rPr>
        <w:t xml:space="preserve">астью 2 Регламента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7811A958" w14:textId="5ED4F9F6"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Реализуя свое право на отказ от предоставления Компании права использования в своих интересах ценных бумаг Клиента, Клиенту следует учитывать, что такой отказ влечет невозможность совершения Клиентом </w:t>
      </w:r>
      <w:r w:rsidR="00E57CAC" w:rsidRPr="00E57CAC">
        <w:rPr>
          <w:rFonts w:ascii="Times New Roman" w:hAnsi="Times New Roman" w:cs="Times New Roman"/>
          <w:sz w:val="18"/>
          <w:szCs w:val="18"/>
        </w:rPr>
        <w:t xml:space="preserve">сделок и договоров, перечисленных в п. 1.5.7 Регламента </w:t>
      </w:r>
      <w:r w:rsidR="00E57CAC">
        <w:rPr>
          <w:rFonts w:ascii="Times New Roman" w:hAnsi="Times New Roman" w:cs="Times New Roman"/>
          <w:sz w:val="18"/>
          <w:szCs w:val="18"/>
        </w:rPr>
        <w:t>брокерского</w:t>
      </w:r>
      <w:r w:rsidR="00E57CAC" w:rsidRPr="00E57CAC">
        <w:rPr>
          <w:rFonts w:ascii="Times New Roman" w:hAnsi="Times New Roman" w:cs="Times New Roman"/>
          <w:sz w:val="18"/>
          <w:szCs w:val="18"/>
        </w:rPr>
        <w:t xml:space="preserve">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p>
    <w:p w14:paraId="589A9432" w14:textId="574C088D"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3D342C7D"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 манипулирование рынком</w:t>
      </w:r>
    </w:p>
    <w:p w14:paraId="159B8796"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0AAD469C" w14:textId="77777777" w:rsidR="00467739" w:rsidRPr="00E85EC1" w:rsidRDefault="00467739" w:rsidP="00467739">
      <w:pPr>
        <w:tabs>
          <w:tab w:val="left" w:pos="322"/>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1.</w:t>
      </w:r>
      <w:r w:rsidRPr="00E85EC1">
        <w:rPr>
          <w:rFonts w:ascii="Times New Roman" w:hAnsi="Times New Roman" w:cs="Times New Roman"/>
          <w:sz w:val="18"/>
          <w:szCs w:val="18"/>
        </w:rPr>
        <w:tab/>
        <w:t>запрещается использование инсайдерской информации:</w:t>
      </w:r>
    </w:p>
    <w:p w14:paraId="347A7C3B"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9FCA7B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4CBA1D59"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1B04B654" w14:textId="77777777" w:rsidR="00467739" w:rsidRPr="00E85EC1" w:rsidRDefault="00467739" w:rsidP="00467739">
      <w:pPr>
        <w:tabs>
          <w:tab w:val="left" w:pos="322"/>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2.</w:t>
      </w:r>
      <w:r w:rsidRPr="00E85EC1">
        <w:rPr>
          <w:rFonts w:ascii="Times New Roman" w:hAnsi="Times New Roman" w:cs="Times New Roman"/>
          <w:sz w:val="18"/>
          <w:szCs w:val="18"/>
        </w:rPr>
        <w:tab/>
        <w:t>запрещается осуществлять действия, относящиеся в соответствии с Законом к манипулированию рынком.</w:t>
      </w:r>
    </w:p>
    <w:p w14:paraId="1ED36393"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E9FB494"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3FDF51C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75503798"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lastRenderedPageBreak/>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171C44C"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248457AD"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042446F1"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Уведомление физического лица – получателя финансовых услуг о наличии информационных документов</w:t>
      </w:r>
    </w:p>
    <w:p w14:paraId="614DE860" w14:textId="1DA8691C" w:rsidR="00806DEE" w:rsidRPr="00E85EC1" w:rsidRDefault="00806DEE" w:rsidP="00561A24">
      <w:pPr>
        <w:autoSpaceDE w:val="0"/>
        <w:autoSpaceDN w:val="0"/>
        <w:adjustRightInd w:val="0"/>
        <w:spacing w:after="120" w:line="240" w:lineRule="auto"/>
        <w:jc w:val="both"/>
        <w:rPr>
          <w:rFonts w:ascii="Times New Roman" w:hAnsi="Times New Roman" w:cs="Times New Roman"/>
          <w:sz w:val="18"/>
          <w:szCs w:val="18"/>
        </w:rPr>
      </w:pPr>
      <w:r w:rsidRPr="00E40116">
        <w:rPr>
          <w:rFonts w:ascii="Times New Roman" w:hAnsi="Times New Roman" w:cs="Times New Roman"/>
          <w:sz w:val="18"/>
          <w:szCs w:val="18"/>
        </w:rPr>
        <w:t xml:space="preserve">Компания уведомляет Клиента-физического лица, что на странице Компании в сети «Интернет» по адресу </w:t>
      </w:r>
      <w:hyperlink r:id="rId8" w:history="1">
        <w:r w:rsidR="00E40116" w:rsidRPr="001E59FD">
          <w:rPr>
            <w:rStyle w:val="ab"/>
            <w:rFonts w:ascii="Times New Roman" w:eastAsia="MS Gothic" w:hAnsi="Times New Roman"/>
            <w:sz w:val="18"/>
            <w:szCs w:val="18"/>
          </w:rPr>
          <w:t>https://www.ikhorizon.ru</w:t>
        </w:r>
      </w:hyperlink>
      <w:r w:rsidR="00E40116" w:rsidRPr="001E59FD">
        <w:rPr>
          <w:rFonts w:ascii="Times New Roman" w:eastAsia="MS Gothic" w:hAnsi="Times New Roman"/>
          <w:sz w:val="18"/>
          <w:szCs w:val="18"/>
        </w:rPr>
        <w:t xml:space="preserve"> </w:t>
      </w:r>
      <w:r w:rsidRPr="00796563">
        <w:rPr>
          <w:rFonts w:ascii="Times New Roman" w:hAnsi="Times New Roman" w:cs="Times New Roman"/>
          <w:sz w:val="18"/>
          <w:szCs w:val="18"/>
        </w:rPr>
        <w:t>размещены информационные документы в отношении обыкновенных акций российских акционерных обществ</w:t>
      </w:r>
      <w:r w:rsidRPr="00E85EC1">
        <w:rPr>
          <w:rFonts w:ascii="Times New Roman" w:hAnsi="Times New Roman" w:cs="Times New Roman"/>
          <w:sz w:val="18"/>
          <w:szCs w:val="18"/>
        </w:rPr>
        <w:t>, привилегированных акций российских акционерных обществах и фьючерсных договоров (контрактов),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p>
    <w:p w14:paraId="08DED0FA" w14:textId="61C8CA0C" w:rsidR="00C1435F" w:rsidRPr="00E85EC1" w:rsidRDefault="00467739" w:rsidP="00561A24">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Компания рекомендует ознакомиться с указанными информационными документами до начала подачи поручений.</w:t>
      </w:r>
    </w:p>
    <w:sectPr w:rsidR="00C1435F" w:rsidRPr="00E85EC1" w:rsidSect="00481756">
      <w:pgSz w:w="11906" w:h="16838" w:code="9"/>
      <w:pgMar w:top="1134" w:right="851" w:bottom="993" w:left="1701" w:header="42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5726" w14:textId="77777777" w:rsidR="00FA4E5E" w:rsidRDefault="00FA4E5E" w:rsidP="00B55F87">
      <w:pPr>
        <w:spacing w:after="0" w:line="240" w:lineRule="auto"/>
      </w:pPr>
      <w:r>
        <w:separator/>
      </w:r>
    </w:p>
  </w:endnote>
  <w:endnote w:type="continuationSeparator" w:id="0">
    <w:p w14:paraId="3E8EA226" w14:textId="77777777" w:rsidR="00FA4E5E" w:rsidRDefault="00FA4E5E" w:rsidP="00B5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4662" w14:textId="77777777" w:rsidR="00FA4E5E" w:rsidRDefault="00FA4E5E" w:rsidP="00B55F87">
      <w:pPr>
        <w:spacing w:after="0" w:line="240" w:lineRule="auto"/>
      </w:pPr>
      <w:r>
        <w:separator/>
      </w:r>
    </w:p>
  </w:footnote>
  <w:footnote w:type="continuationSeparator" w:id="0">
    <w:p w14:paraId="07DC5132" w14:textId="77777777" w:rsidR="00FA4E5E" w:rsidRDefault="00FA4E5E" w:rsidP="00B5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31535"/>
    <w:multiLevelType w:val="hybridMultilevel"/>
    <w:tmpl w:val="B0BA5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C870A7"/>
    <w:multiLevelType w:val="hybridMultilevel"/>
    <w:tmpl w:val="8598B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9A3AA1"/>
    <w:multiLevelType w:val="hybridMultilevel"/>
    <w:tmpl w:val="3B2A0BB6"/>
    <w:lvl w:ilvl="0" w:tplc="BA780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4468D9"/>
    <w:multiLevelType w:val="hybridMultilevel"/>
    <w:tmpl w:val="5B1E0F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439F7926"/>
    <w:multiLevelType w:val="hybridMultilevel"/>
    <w:tmpl w:val="2E364876"/>
    <w:lvl w:ilvl="0" w:tplc="6504E0A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97174A"/>
    <w:multiLevelType w:val="hybridMultilevel"/>
    <w:tmpl w:val="576E89EA"/>
    <w:lvl w:ilvl="0" w:tplc="863C1F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66DA9"/>
    <w:multiLevelType w:val="hybridMultilevel"/>
    <w:tmpl w:val="6E4E2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603D2B"/>
    <w:multiLevelType w:val="hybridMultilevel"/>
    <w:tmpl w:val="2E364876"/>
    <w:lvl w:ilvl="0" w:tplc="6504E0A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21DDF"/>
    <w:multiLevelType w:val="hybridMultilevel"/>
    <w:tmpl w:val="B71A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7022BC"/>
    <w:multiLevelType w:val="hybridMultilevel"/>
    <w:tmpl w:val="1AF6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A6D20"/>
    <w:multiLevelType w:val="multilevel"/>
    <w:tmpl w:val="D7FEA75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7C485C"/>
    <w:multiLevelType w:val="hybridMultilevel"/>
    <w:tmpl w:val="E5BA9A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FB19A6"/>
    <w:multiLevelType w:val="hybridMultilevel"/>
    <w:tmpl w:val="9E7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A706B"/>
    <w:multiLevelType w:val="hybridMultilevel"/>
    <w:tmpl w:val="7B3E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2"/>
  </w:num>
  <w:num w:numId="6">
    <w:abstractNumId w:val="10"/>
  </w:num>
  <w:num w:numId="7">
    <w:abstractNumId w:val="4"/>
  </w:num>
  <w:num w:numId="8">
    <w:abstractNumId w:val="13"/>
  </w:num>
  <w:num w:numId="9">
    <w:abstractNumId w:val="15"/>
  </w:num>
  <w:num w:numId="10">
    <w:abstractNumId w:val="11"/>
  </w:num>
  <w:num w:numId="11">
    <w:abstractNumId w:val="14"/>
  </w:num>
  <w:num w:numId="12">
    <w:abstractNumId w:val="9"/>
  </w:num>
  <w:num w:numId="13">
    <w:abstractNumId w:val="5"/>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B7"/>
    <w:rsid w:val="000022A3"/>
    <w:rsid w:val="00011345"/>
    <w:rsid w:val="0001149D"/>
    <w:rsid w:val="00032D8D"/>
    <w:rsid w:val="0008583F"/>
    <w:rsid w:val="000A4428"/>
    <w:rsid w:val="000D633C"/>
    <w:rsid w:val="00114C46"/>
    <w:rsid w:val="0011706A"/>
    <w:rsid w:val="001936C6"/>
    <w:rsid w:val="00196CAE"/>
    <w:rsid w:val="001D2404"/>
    <w:rsid w:val="001E3FDE"/>
    <w:rsid w:val="001E59FD"/>
    <w:rsid w:val="002D0BB7"/>
    <w:rsid w:val="00301AB7"/>
    <w:rsid w:val="00323E30"/>
    <w:rsid w:val="0036478D"/>
    <w:rsid w:val="00370C69"/>
    <w:rsid w:val="003B7742"/>
    <w:rsid w:val="003F3A49"/>
    <w:rsid w:val="0040768D"/>
    <w:rsid w:val="00415599"/>
    <w:rsid w:val="00467739"/>
    <w:rsid w:val="00481756"/>
    <w:rsid w:val="0049717B"/>
    <w:rsid w:val="004B6FC1"/>
    <w:rsid w:val="00535FA1"/>
    <w:rsid w:val="00543B39"/>
    <w:rsid w:val="00555E7C"/>
    <w:rsid w:val="00561A24"/>
    <w:rsid w:val="0057117E"/>
    <w:rsid w:val="005E3000"/>
    <w:rsid w:val="00605879"/>
    <w:rsid w:val="00687BDA"/>
    <w:rsid w:val="006A1538"/>
    <w:rsid w:val="00762C07"/>
    <w:rsid w:val="00776635"/>
    <w:rsid w:val="00784068"/>
    <w:rsid w:val="00796563"/>
    <w:rsid w:val="00797C26"/>
    <w:rsid w:val="007A1D4D"/>
    <w:rsid w:val="007F15AC"/>
    <w:rsid w:val="00806DEE"/>
    <w:rsid w:val="00807A7A"/>
    <w:rsid w:val="00850BE0"/>
    <w:rsid w:val="00883B36"/>
    <w:rsid w:val="008B5427"/>
    <w:rsid w:val="008C72FB"/>
    <w:rsid w:val="00902A94"/>
    <w:rsid w:val="0090551B"/>
    <w:rsid w:val="009A0E89"/>
    <w:rsid w:val="00A52F76"/>
    <w:rsid w:val="00A64AFC"/>
    <w:rsid w:val="00A754E0"/>
    <w:rsid w:val="00A90B65"/>
    <w:rsid w:val="00A93703"/>
    <w:rsid w:val="00A97CA0"/>
    <w:rsid w:val="00B55F87"/>
    <w:rsid w:val="00B90565"/>
    <w:rsid w:val="00BA68D4"/>
    <w:rsid w:val="00BB27A9"/>
    <w:rsid w:val="00BE1AC9"/>
    <w:rsid w:val="00C1435F"/>
    <w:rsid w:val="00C149E9"/>
    <w:rsid w:val="00C21651"/>
    <w:rsid w:val="00C31B55"/>
    <w:rsid w:val="00CD5892"/>
    <w:rsid w:val="00CD72D7"/>
    <w:rsid w:val="00CF02BA"/>
    <w:rsid w:val="00CF7660"/>
    <w:rsid w:val="00D02922"/>
    <w:rsid w:val="00D525B5"/>
    <w:rsid w:val="00DB1359"/>
    <w:rsid w:val="00DC2F7D"/>
    <w:rsid w:val="00DE0E5B"/>
    <w:rsid w:val="00E06CA5"/>
    <w:rsid w:val="00E40116"/>
    <w:rsid w:val="00E57CAC"/>
    <w:rsid w:val="00E70936"/>
    <w:rsid w:val="00E73DB0"/>
    <w:rsid w:val="00E85EC1"/>
    <w:rsid w:val="00EA1DB7"/>
    <w:rsid w:val="00ED333F"/>
    <w:rsid w:val="00EE5377"/>
    <w:rsid w:val="00EF2511"/>
    <w:rsid w:val="00EF3FF8"/>
    <w:rsid w:val="00FA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B2AE"/>
  <w15:chartTrackingRefBased/>
  <w15:docId w15:val="{C1866E03-F751-4A1B-BFDD-A71600D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2BA"/>
    <w:pPr>
      <w:ind w:left="720"/>
      <w:contextualSpacing/>
    </w:pPr>
  </w:style>
  <w:style w:type="paragraph" w:styleId="a4">
    <w:name w:val="Balloon Text"/>
    <w:basedOn w:val="a"/>
    <w:link w:val="a5"/>
    <w:uiPriority w:val="99"/>
    <w:semiHidden/>
    <w:unhideWhenUsed/>
    <w:rsid w:val="000022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2A3"/>
    <w:rPr>
      <w:rFonts w:ascii="Segoe UI" w:hAnsi="Segoe UI" w:cs="Segoe UI"/>
      <w:sz w:val="18"/>
      <w:szCs w:val="18"/>
    </w:rPr>
  </w:style>
  <w:style w:type="character" w:styleId="a6">
    <w:name w:val="annotation reference"/>
    <w:basedOn w:val="a0"/>
    <w:uiPriority w:val="99"/>
    <w:semiHidden/>
    <w:unhideWhenUsed/>
    <w:rsid w:val="00A64AFC"/>
    <w:rPr>
      <w:sz w:val="16"/>
      <w:szCs w:val="16"/>
    </w:rPr>
  </w:style>
  <w:style w:type="paragraph" w:styleId="a7">
    <w:name w:val="annotation text"/>
    <w:basedOn w:val="a"/>
    <w:link w:val="a8"/>
    <w:uiPriority w:val="99"/>
    <w:semiHidden/>
    <w:unhideWhenUsed/>
    <w:rsid w:val="00A64AFC"/>
    <w:pPr>
      <w:spacing w:line="240" w:lineRule="auto"/>
    </w:pPr>
    <w:rPr>
      <w:sz w:val="20"/>
      <w:szCs w:val="20"/>
    </w:rPr>
  </w:style>
  <w:style w:type="character" w:customStyle="1" w:styleId="a8">
    <w:name w:val="Текст примечания Знак"/>
    <w:basedOn w:val="a0"/>
    <w:link w:val="a7"/>
    <w:uiPriority w:val="99"/>
    <w:semiHidden/>
    <w:rsid w:val="00A64AFC"/>
    <w:rPr>
      <w:sz w:val="20"/>
      <w:szCs w:val="20"/>
    </w:rPr>
  </w:style>
  <w:style w:type="paragraph" w:styleId="a9">
    <w:name w:val="annotation subject"/>
    <w:basedOn w:val="a7"/>
    <w:next w:val="a7"/>
    <w:link w:val="aa"/>
    <w:uiPriority w:val="99"/>
    <w:semiHidden/>
    <w:unhideWhenUsed/>
    <w:rsid w:val="00A64AFC"/>
    <w:rPr>
      <w:b/>
      <w:bCs/>
    </w:rPr>
  </w:style>
  <w:style w:type="character" w:customStyle="1" w:styleId="aa">
    <w:name w:val="Тема примечания Знак"/>
    <w:basedOn w:val="a8"/>
    <w:link w:val="a9"/>
    <w:uiPriority w:val="99"/>
    <w:semiHidden/>
    <w:rsid w:val="00A64AFC"/>
    <w:rPr>
      <w:b/>
      <w:bCs/>
      <w:sz w:val="20"/>
      <w:szCs w:val="20"/>
    </w:rPr>
  </w:style>
  <w:style w:type="character" w:styleId="ab">
    <w:name w:val="Hyperlink"/>
    <w:basedOn w:val="a0"/>
    <w:uiPriority w:val="99"/>
    <w:unhideWhenUsed/>
    <w:rsid w:val="00467739"/>
    <w:rPr>
      <w:color w:val="0563C1" w:themeColor="hyperlink"/>
      <w:u w:val="single"/>
    </w:rPr>
  </w:style>
  <w:style w:type="paragraph" w:styleId="ac">
    <w:name w:val="header"/>
    <w:basedOn w:val="a"/>
    <w:link w:val="ad"/>
    <w:rsid w:val="00C149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149E9"/>
    <w:rPr>
      <w:rFonts w:ascii="Times New Roman" w:eastAsia="Times New Roman" w:hAnsi="Times New Roman" w:cs="Times New Roman"/>
      <w:sz w:val="24"/>
      <w:szCs w:val="24"/>
    </w:rPr>
  </w:style>
  <w:style w:type="character" w:styleId="ae">
    <w:name w:val="Unresolved Mention"/>
    <w:basedOn w:val="a0"/>
    <w:uiPriority w:val="99"/>
    <w:semiHidden/>
    <w:unhideWhenUsed/>
    <w:rsid w:val="003B7742"/>
    <w:rPr>
      <w:color w:val="605E5C"/>
      <w:shd w:val="clear" w:color="auto" w:fill="E1DFDD"/>
    </w:rPr>
  </w:style>
  <w:style w:type="paragraph" w:styleId="af">
    <w:name w:val="footer"/>
    <w:basedOn w:val="a"/>
    <w:link w:val="af0"/>
    <w:uiPriority w:val="99"/>
    <w:unhideWhenUsed/>
    <w:rsid w:val="00B55F8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5F87"/>
  </w:style>
  <w:style w:type="table" w:styleId="af1">
    <w:name w:val="Table Grid"/>
    <w:basedOn w:val="a1"/>
    <w:uiPriority w:val="39"/>
    <w:rsid w:val="00B5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oriz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D87E-6786-4A98-A8E4-46654BD2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9963</Words>
  <Characters>56793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Рыженко Денис</cp:lastModifiedBy>
  <cp:revision>2</cp:revision>
  <dcterms:created xsi:type="dcterms:W3CDTF">2024-09-20T15:24:00Z</dcterms:created>
  <dcterms:modified xsi:type="dcterms:W3CDTF">2024-09-27T15:55:00Z</dcterms:modified>
</cp:coreProperties>
</file>