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1A73" w14:textId="11AF3A4D" w:rsidR="00706614" w:rsidRPr="0075656B" w:rsidRDefault="008B048B" w:rsidP="0075656B">
      <w:pPr>
        <w:spacing w:after="0"/>
        <w:jc w:val="right"/>
        <w:rPr>
          <w:rFonts w:ascii="Times New Roman" w:hAnsi="Times New Roman"/>
          <w:sz w:val="16"/>
          <w:szCs w:val="16"/>
        </w:rPr>
      </w:pPr>
      <w:bookmarkStart w:id="0" w:name="_GoBack"/>
      <w:bookmarkEnd w:id="0"/>
      <w:r w:rsidRPr="0075656B">
        <w:rPr>
          <w:rFonts w:ascii="Times New Roman" w:hAnsi="Times New Roman"/>
          <w:sz w:val="16"/>
          <w:szCs w:val="16"/>
        </w:rPr>
        <w:t>Приложение</w:t>
      </w:r>
      <w:r w:rsidR="00706614" w:rsidRPr="0075656B">
        <w:rPr>
          <w:rFonts w:ascii="Times New Roman" w:hAnsi="Times New Roman"/>
          <w:sz w:val="16"/>
          <w:szCs w:val="16"/>
        </w:rPr>
        <w:t xml:space="preserve"> </w:t>
      </w:r>
      <w:r w:rsidRPr="0075656B">
        <w:rPr>
          <w:rFonts w:ascii="Times New Roman" w:hAnsi="Times New Roman"/>
          <w:sz w:val="16"/>
          <w:szCs w:val="16"/>
        </w:rPr>
        <w:t xml:space="preserve">№ </w:t>
      </w:r>
      <w:r w:rsidR="00706614" w:rsidRPr="0075656B">
        <w:rPr>
          <w:rFonts w:ascii="Times New Roman" w:hAnsi="Times New Roman"/>
          <w:sz w:val="16"/>
          <w:szCs w:val="16"/>
        </w:rPr>
        <w:t>1</w:t>
      </w:r>
      <w:r w:rsidR="00261522" w:rsidRPr="0075656B">
        <w:rPr>
          <w:rFonts w:ascii="Times New Roman" w:hAnsi="Times New Roman"/>
          <w:sz w:val="16"/>
          <w:szCs w:val="16"/>
        </w:rPr>
        <w:t>.</w:t>
      </w:r>
      <w:r w:rsidR="00706614" w:rsidRPr="0075656B">
        <w:rPr>
          <w:rFonts w:ascii="Times New Roman" w:hAnsi="Times New Roman"/>
          <w:sz w:val="16"/>
          <w:szCs w:val="16"/>
        </w:rPr>
        <w:t>1</w:t>
      </w:r>
    </w:p>
    <w:p w14:paraId="0B4E17A9" w14:textId="7664C245" w:rsidR="008B048B" w:rsidRPr="0075656B" w:rsidRDefault="00706614" w:rsidP="008B048B">
      <w:pPr>
        <w:spacing w:after="0"/>
        <w:jc w:val="right"/>
        <w:rPr>
          <w:rFonts w:ascii="Times New Roman" w:hAnsi="Times New Roman"/>
          <w:sz w:val="16"/>
          <w:szCs w:val="16"/>
        </w:rPr>
      </w:pPr>
      <w:r w:rsidRPr="0075656B">
        <w:rPr>
          <w:rFonts w:ascii="Times New Roman" w:hAnsi="Times New Roman"/>
          <w:sz w:val="16"/>
          <w:szCs w:val="16"/>
        </w:rPr>
        <w:t xml:space="preserve">к Регламенту </w:t>
      </w:r>
      <w:r w:rsidR="008B048B" w:rsidRPr="0075656B">
        <w:rPr>
          <w:rFonts w:ascii="Times New Roman" w:hAnsi="Times New Roman"/>
          <w:sz w:val="16"/>
          <w:szCs w:val="16"/>
        </w:rPr>
        <w:t>брокерского обслуживания</w:t>
      </w:r>
    </w:p>
    <w:p w14:paraId="1CCD763C" w14:textId="31326229" w:rsidR="00706614" w:rsidRPr="0075656B" w:rsidRDefault="00137FE5" w:rsidP="0075656B">
      <w:pPr>
        <w:spacing w:after="0"/>
        <w:jc w:val="right"/>
        <w:rPr>
          <w:rFonts w:ascii="Times New Roman" w:hAnsi="Times New Roman"/>
          <w:sz w:val="16"/>
          <w:szCs w:val="16"/>
        </w:rPr>
      </w:pPr>
      <w:r>
        <w:rPr>
          <w:rFonts w:ascii="Times New Roman" w:hAnsi="Times New Roman"/>
          <w:sz w:val="16"/>
          <w:szCs w:val="16"/>
        </w:rPr>
        <w:t>А</w:t>
      </w:r>
      <w:r w:rsidR="008B048B" w:rsidRPr="0075656B">
        <w:rPr>
          <w:rFonts w:ascii="Times New Roman" w:hAnsi="Times New Roman"/>
          <w:sz w:val="16"/>
          <w:szCs w:val="16"/>
        </w:rPr>
        <w:t>О «</w:t>
      </w:r>
      <w:r>
        <w:rPr>
          <w:rFonts w:ascii="Times New Roman" w:hAnsi="Times New Roman"/>
          <w:sz w:val="16"/>
          <w:szCs w:val="16"/>
        </w:rPr>
        <w:t>И</w:t>
      </w:r>
      <w:r w:rsidR="008B048B" w:rsidRPr="0075656B">
        <w:rPr>
          <w:rFonts w:ascii="Times New Roman" w:hAnsi="Times New Roman"/>
          <w:sz w:val="16"/>
          <w:szCs w:val="16"/>
        </w:rPr>
        <w:t>К «Горизонт»</w:t>
      </w:r>
    </w:p>
    <w:p w14:paraId="0565B74C" w14:textId="77777777" w:rsidR="007F7D1F" w:rsidRPr="0075656B" w:rsidRDefault="007F7D1F"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561D41A2"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DF0604"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561F53EF"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C23C34" w:rsidRPr="00C23C34">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 xml:space="preserve">Пресненская,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3B210ACC"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152C569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39413045"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4BB9AB28"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w:t>
      </w:r>
      <w:r w:rsidR="00C23C34">
        <w:rPr>
          <w:rFonts w:ascii="Times New Roman" w:hAnsi="Times New Roman"/>
          <w:sz w:val="16"/>
          <w:szCs w:val="16"/>
        </w:rPr>
        <w:t>ым</w:t>
      </w:r>
      <w:r w:rsidR="006B136A">
        <w:rPr>
          <w:rFonts w:ascii="Times New Roman" w:hAnsi="Times New Roman"/>
          <w:sz w:val="16"/>
          <w:szCs w:val="16"/>
        </w:rPr>
        <w:t xml:space="preserve"> обществ</w:t>
      </w:r>
      <w:r w:rsidR="00C23C34">
        <w:rPr>
          <w:rFonts w:ascii="Times New Roman" w:hAnsi="Times New Roman"/>
          <w:sz w:val="16"/>
          <w:szCs w:val="16"/>
        </w:rPr>
        <w:t>ом</w:t>
      </w:r>
      <w:r w:rsidR="006B136A">
        <w:rPr>
          <w:rFonts w:ascii="Times New Roman" w:hAnsi="Times New Roman"/>
          <w:sz w:val="16"/>
          <w:szCs w:val="16"/>
        </w:rPr>
        <w:t xml:space="preserve">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4704AE19"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6B136A" w:rsidRPr="006B136A">
        <w:rPr>
          <w:rFonts w:ascii="Tahoma" w:hAnsi="Tahoma" w:cs="Tahoma"/>
          <w:sz w:val="16"/>
          <w:szCs w:val="16"/>
        </w:rPr>
        <w:t xml:space="preserve"> </w:t>
      </w:r>
      <w:r w:rsidR="006B136A" w:rsidRPr="0045495A">
        <w:rPr>
          <w:rFonts w:ascii="Times New Roman" w:hAnsi="Times New Roman"/>
          <w:sz w:val="16"/>
          <w:szCs w:val="16"/>
        </w:rPr>
        <w:t>либо используя функциональные возможности Личного кабинета,</w:t>
      </w:r>
      <w:r w:rsidR="002E6206" w:rsidRPr="0075656B">
        <w:rPr>
          <w:rFonts w:ascii="Times New Roman" w:hAnsi="Times New Roman"/>
          <w:sz w:val="16"/>
          <w:szCs w:val="16"/>
        </w:rPr>
        <w:t xml:space="preserve"> 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972172C" w:rsidR="0001185A" w:rsidRPr="0075656B" w:rsidRDefault="00DF0604"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3012AD7D" w:rsidR="0001185A" w:rsidRDefault="00DF0604"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68CA5C47" w:rsidR="00885F3B" w:rsidRPr="0075656B" w:rsidRDefault="00DF0604"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End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2B8CBCA1" w:rsidR="0001185A" w:rsidRPr="0075656B" w:rsidRDefault="00DF0604"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proofErr w:type="spellStart"/>
      <w:r w:rsidR="002E431B" w:rsidRPr="0075656B">
        <w:rPr>
          <w:rFonts w:ascii="Times New Roman" w:eastAsia="MS Gothic" w:hAnsi="Times New Roman"/>
          <w:sz w:val="16"/>
          <w:szCs w:val="16"/>
        </w:rPr>
        <w:t>субброкерского</w:t>
      </w:r>
      <w:proofErr w:type="spellEnd"/>
      <w:r w:rsidR="002E431B" w:rsidRPr="0075656B">
        <w:rPr>
          <w:rFonts w:ascii="Times New Roman" w:eastAsia="MS Gothic" w:hAnsi="Times New Roman"/>
          <w:sz w:val="16"/>
          <w:szCs w:val="16"/>
        </w:rPr>
        <w:t xml:space="preserve">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751463FF" w:rsidR="00D952EC" w:rsidRPr="0075656B" w:rsidRDefault="00DF0604"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End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рокерском обслуживании (</w:t>
      </w:r>
      <w:proofErr w:type="spellStart"/>
      <w:r w:rsidR="00D952EC" w:rsidRPr="0075656B">
        <w:rPr>
          <w:rFonts w:ascii="Times New Roman" w:eastAsia="MS Gothic" w:hAnsi="Times New Roman"/>
          <w:sz w:val="16"/>
          <w:szCs w:val="16"/>
        </w:rPr>
        <w:t>субброкерского</w:t>
      </w:r>
      <w:proofErr w:type="spellEnd"/>
      <w:r w:rsidR="00D952EC" w:rsidRPr="0075656B">
        <w:rPr>
          <w:rFonts w:ascii="Times New Roman" w:eastAsia="MS Gothic" w:hAnsi="Times New Roman"/>
          <w:sz w:val="16"/>
          <w:szCs w:val="16"/>
        </w:rPr>
        <w:t xml:space="preserve">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w:t>
      </w:r>
      <w:proofErr w:type="spellStart"/>
      <w:r w:rsidR="00D952EC" w:rsidRPr="0075656B">
        <w:rPr>
          <w:rFonts w:ascii="Times New Roman" w:eastAsia="MS Gothic" w:hAnsi="Times New Roman"/>
          <w:i/>
          <w:sz w:val="16"/>
          <w:szCs w:val="16"/>
        </w:rPr>
        <w:t>субброкера</w:t>
      </w:r>
      <w:proofErr w:type="spellEnd"/>
      <w:r w:rsidR="00D952EC" w:rsidRPr="0075656B">
        <w:rPr>
          <w:rFonts w:ascii="Times New Roman" w:eastAsia="MS Gothic" w:hAnsi="Times New Roman"/>
          <w:i/>
          <w:sz w:val="16"/>
          <w:szCs w:val="16"/>
        </w:rPr>
        <w:t xml:space="preserve"> открываются индивидуальные счета внутреннего учета)</w:t>
      </w:r>
    </w:p>
    <w:p w14:paraId="64C09A52" w14:textId="6A01CF99"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3F2F9046"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https://www. ikhorizon.ru/</w:t>
      </w:r>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62860762"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r w:rsidR="007C7CCD" w:rsidRPr="00902781">
        <w:rPr>
          <w:rFonts w:ascii="Times New Roman" w:eastAsia="MS Gothic" w:hAnsi="Times New Roman"/>
          <w:sz w:val="16"/>
          <w:szCs w:val="16"/>
        </w:rPr>
        <w:t>https://www. ikhorizon.ru</w:t>
      </w:r>
      <w:r w:rsidR="00902781">
        <w:rPr>
          <w:rFonts w:ascii="Times New Roman" w:eastAsia="MS Gothic" w:hAnsi="Times New Roman"/>
          <w:sz w:val="16"/>
          <w:szCs w:val="16"/>
        </w:rPr>
        <w:t>,</w:t>
      </w:r>
      <w:r w:rsidR="001B1D85" w:rsidRPr="00C23C34">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DF0604"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End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w:t>
            </w:r>
            <w:proofErr w:type="spellStart"/>
            <w:r w:rsidRPr="00320D22">
              <w:rPr>
                <w:rFonts w:ascii="Times New Roman" w:eastAsia="MS Gothic" w:hAnsi="Times New Roman"/>
                <w:sz w:val="16"/>
                <w:szCs w:val="16"/>
              </w:rPr>
              <w:t>ii</w:t>
            </w:r>
            <w:proofErr w:type="spellEnd"/>
            <w:r w:rsidRPr="00320D22">
              <w:rPr>
                <w:rFonts w:ascii="Times New Roman" w:eastAsia="MS Gothic" w:hAnsi="Times New Roman"/>
                <w:sz w:val="16"/>
                <w:szCs w:val="16"/>
              </w:rPr>
              <w:t>) риски использования Компанией в своих интересах денежных средств Клиента ему понятны и принимаются им; (</w:t>
            </w:r>
            <w:proofErr w:type="spellStart"/>
            <w:r w:rsidRPr="00320D22">
              <w:rPr>
                <w:rFonts w:ascii="Times New Roman" w:eastAsia="MS Gothic" w:hAnsi="Times New Roman"/>
                <w:sz w:val="16"/>
                <w:szCs w:val="16"/>
              </w:rPr>
              <w:t>iii</w:t>
            </w:r>
            <w:proofErr w:type="spellEnd"/>
            <w:r w:rsidRPr="00320D22">
              <w:rPr>
                <w:rFonts w:ascii="Times New Roman" w:eastAsia="MS Gothic" w:hAnsi="Times New Roman"/>
                <w:sz w:val="16"/>
                <w:szCs w:val="16"/>
              </w:rPr>
              <w:t>)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DF0604"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DF0604"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End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427D0077"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r w:rsidR="0041750B">
              <w:rPr>
                <w:rStyle w:val="af5"/>
                <w:rFonts w:ascii="Times New Roman" w:eastAsia="MS Gothic" w:hAnsi="Times New Roman"/>
                <w:sz w:val="16"/>
                <w:szCs w:val="16"/>
              </w:rPr>
              <w:endnoteReference w:id="2"/>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DF0604"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3"/>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4"/>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DF0604"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End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5"/>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6"/>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59E86439"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w:t>
            </w:r>
            <w:proofErr w:type="spellStart"/>
            <w:r w:rsidR="00367D4B" w:rsidRPr="0075656B">
              <w:rPr>
                <w:rFonts w:ascii="Times New Roman" w:eastAsia="MS Gothic" w:hAnsi="Times New Roman"/>
                <w:sz w:val="16"/>
                <w:szCs w:val="16"/>
              </w:rPr>
              <w:t>Сублицензионный</w:t>
            </w:r>
            <w:proofErr w:type="spellEnd"/>
            <w:r w:rsidR="00367D4B" w:rsidRPr="0075656B">
              <w:rPr>
                <w:rFonts w:ascii="Times New Roman" w:eastAsia="MS Gothic" w:hAnsi="Times New Roman"/>
                <w:sz w:val="16"/>
                <w:szCs w:val="16"/>
              </w:rPr>
              <w:t xml:space="preserve">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r w:rsidR="00631A8F" w:rsidRPr="00631A8F">
              <w:rPr>
                <w:rFonts w:ascii="Times New Roman" w:eastAsia="MS Gothic" w:hAnsi="Times New Roman"/>
                <w:sz w:val="16"/>
                <w:szCs w:val="16"/>
              </w:rPr>
              <w:t>https://www.ikhorizon.ru/</w:t>
            </w:r>
            <w:r w:rsidRPr="0075656B">
              <w:rPr>
                <w:rFonts w:ascii="Times New Roman" w:eastAsia="MS Gothic" w:hAnsi="Times New Roman"/>
                <w:sz w:val="16"/>
                <w:szCs w:val="16"/>
              </w:rPr>
              <w:t xml:space="preserve">. С даты вступления в силу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7A56A2">
              <w:rPr>
                <w:rFonts w:ascii="Times New Roman" w:eastAsia="MS Gothic" w:hAnsi="Times New Roman"/>
                <w:sz w:val="16"/>
                <w:szCs w:val="16"/>
              </w:rPr>
              <w:t>0</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D023E3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DF0604"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DF0604">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DF0604">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DF0604">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297EDE0F"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C24D3D">
              <w:rPr>
                <w:sz w:val="16"/>
                <w:szCs w:val="16"/>
              </w:rPr>
              <w:t xml:space="preserve"> </w:t>
            </w:r>
            <w:r w:rsidR="00C24D3D" w:rsidRPr="00C24D3D">
              <w:rPr>
                <w:rFonts w:ascii="Times New Roman" w:eastAsia="MS Gothic" w:hAnsi="Times New Roman"/>
                <w:sz w:val="16"/>
                <w:szCs w:val="16"/>
              </w:rPr>
              <w:t>или уполномоченным представителем юридического лица с печатью юридического лица (при наличии)</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15170F4A"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DF0604"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End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DF0604"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End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3D398E32" w14:textId="77777777" w:rsidR="0041750B" w:rsidRPr="0041750B" w:rsidRDefault="0041750B" w:rsidP="00DD2420">
      <w:pPr>
        <w:pStyle w:val="a4"/>
        <w:numPr>
          <w:ilvl w:val="0"/>
          <w:numId w:val="1"/>
        </w:numPr>
        <w:jc w:val="both"/>
        <w:rPr>
          <w:rFonts w:ascii="Times New Roman" w:eastAsia="MS Gothic" w:hAnsi="Times New Roman"/>
          <w:sz w:val="20"/>
          <w:szCs w:val="20"/>
        </w:rPr>
      </w:pPr>
      <w:r w:rsidRPr="0041750B">
        <w:rPr>
          <w:rFonts w:ascii="Times New Roman" w:eastAsia="MS Gothic" w:hAnsi="Times New Roman"/>
          <w:sz w:val="20"/>
          <w:szCs w:val="20"/>
        </w:rPr>
        <w:t xml:space="preserve">Предоставление возможности совершения необеспеченных сделок </w:t>
      </w:r>
      <w:r w:rsidRPr="00DD2420">
        <w:rPr>
          <w:rFonts w:ascii="Times New Roman" w:eastAsia="MS Gothic" w:hAnsi="Times New Roman"/>
          <w:i/>
          <w:sz w:val="20"/>
          <w:szCs w:val="20"/>
        </w:rPr>
        <w:t>(является необходимым условием для предоставления права совершения срочных сделок (заключения договоров, являющихся производными финансовыми инструментами):</w:t>
      </w:r>
    </w:p>
    <w:tbl>
      <w:tblPr>
        <w:tblStyle w:val="af6"/>
        <w:tblW w:w="9498" w:type="dxa"/>
        <w:tblInd w:w="-5" w:type="dxa"/>
        <w:tblLook w:val="04A0" w:firstRow="1" w:lastRow="0" w:firstColumn="1" w:lastColumn="0" w:noHBand="0" w:noVBand="1"/>
      </w:tblPr>
      <w:tblGrid>
        <w:gridCol w:w="9498"/>
      </w:tblGrid>
      <w:tr w:rsidR="0041750B" w14:paraId="227312B2" w14:textId="77777777" w:rsidTr="00DD2420">
        <w:tc>
          <w:tcPr>
            <w:tcW w:w="9498" w:type="dxa"/>
          </w:tcPr>
          <w:p w14:paraId="418A121D" w14:textId="44A6BBE9" w:rsidR="0041750B" w:rsidRPr="00DD2420" w:rsidRDefault="00DF0604"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sdt>
              <w:sdtPr>
                <w:rPr>
                  <w:rFonts w:ascii="Times New Roman" w:eastAsia="MS Gothic" w:hAnsi="Times New Roman"/>
                  <w:sz w:val="16"/>
                  <w:szCs w:val="16"/>
                </w:rPr>
                <w:id w:val="1111561479"/>
                <w14:checkbox>
                  <w14:checked w14:val="0"/>
                  <w14:checkedState w14:val="2612" w14:font="MS Gothic"/>
                  <w14:uncheckedState w14:val="2610" w14:font="MS Gothic"/>
                </w14:checkbox>
              </w:sdtPr>
              <w:sdtEndPr/>
              <w:sdtContent>
                <w:r w:rsidR="0041750B" w:rsidRPr="00DD2420">
                  <w:rPr>
                    <w:rFonts w:ascii="Segoe UI Symbol" w:eastAsia="MS Gothic" w:hAnsi="Segoe UI Symbol" w:cs="Segoe UI Symbol"/>
                    <w:sz w:val="16"/>
                    <w:szCs w:val="16"/>
                  </w:rPr>
                  <w:t>☐</w:t>
                </w:r>
              </w:sdtContent>
            </w:sdt>
            <w:r w:rsidR="0041750B" w:rsidRPr="00DD2420" w:rsidDel="00806534">
              <w:rPr>
                <w:rFonts w:ascii="Times New Roman" w:eastAsia="MS Gothic" w:hAnsi="Times New Roman"/>
                <w:sz w:val="16"/>
                <w:szCs w:val="16"/>
              </w:rPr>
              <w:t xml:space="preserve"> </w:t>
            </w:r>
            <w:r w:rsidR="0041750B" w:rsidRPr="00DD2420">
              <w:rPr>
                <w:rFonts w:ascii="Times New Roman" w:eastAsia="MS Gothic" w:hAnsi="Times New Roman"/>
                <w:sz w:val="16"/>
                <w:szCs w:val="16"/>
              </w:rPr>
              <w:t xml:space="preserve">Прошу </w:t>
            </w:r>
            <w:r w:rsidR="0041750B">
              <w:rPr>
                <w:rFonts w:ascii="Times New Roman" w:eastAsia="MS Gothic" w:hAnsi="Times New Roman"/>
                <w:sz w:val="16"/>
                <w:szCs w:val="16"/>
              </w:rPr>
              <w:t>Акционерное общество «Инвестиционная компания «Горизонт»</w:t>
            </w:r>
            <w:r w:rsidR="0041750B" w:rsidRPr="00D068FC">
              <w:rPr>
                <w:rFonts w:ascii="Times New Roman" w:eastAsia="MS Gothic" w:hAnsi="Times New Roman"/>
                <w:sz w:val="16"/>
                <w:szCs w:val="16"/>
              </w:rPr>
              <w:t xml:space="preserve"> </w:t>
            </w:r>
            <w:r w:rsidR="0041750B" w:rsidRPr="00DD2420">
              <w:rPr>
                <w:rFonts w:ascii="Times New Roman" w:eastAsia="MS Gothic" w:hAnsi="Times New Roman"/>
                <w:sz w:val="16"/>
                <w:szCs w:val="16"/>
              </w:rPr>
              <w:t>предоставить возможность совершения необеспеченных сделок</w:t>
            </w:r>
          </w:p>
          <w:p w14:paraId="68E5B0E8" w14:textId="77777777" w:rsidR="0041750B" w:rsidRPr="00DD2420" w:rsidRDefault="0041750B"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r w:rsidRPr="00DD2420">
              <w:rPr>
                <w:rFonts w:ascii="Times New Roman" w:eastAsia="MS Gothic" w:hAnsi="Times New Roman"/>
                <w:sz w:val="16"/>
                <w:szCs w:val="16"/>
              </w:rPr>
              <w:t>Ставя отметку о предоставлении возможности совершения необеспеченных сделок, Клиент подтверждает, что он:</w:t>
            </w:r>
          </w:p>
          <w:p w14:paraId="4EC0B455" w14:textId="15D36E1D"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 xml:space="preserve">ознакомлен с правилами и особенностями совершения необеспеченных сделок, сделок по закрытию позиций, специальных сделок РЕПО, специальных сделок своп (Приложение № </w:t>
            </w:r>
            <w:r>
              <w:rPr>
                <w:rFonts w:ascii="Times New Roman" w:eastAsia="MS Gothic" w:hAnsi="Times New Roman"/>
                <w:sz w:val="16"/>
                <w:szCs w:val="16"/>
              </w:rPr>
              <w:t>8</w:t>
            </w:r>
            <w:r w:rsidRPr="00DD2420">
              <w:rPr>
                <w:rFonts w:ascii="Times New Roman" w:eastAsia="MS Gothic" w:hAnsi="Times New Roman"/>
                <w:sz w:val="16"/>
                <w:szCs w:val="16"/>
              </w:rPr>
              <w:t xml:space="preserve"> к Регламенту </w:t>
            </w:r>
            <w:r>
              <w:rPr>
                <w:rFonts w:ascii="Times New Roman" w:eastAsia="MS Gothic" w:hAnsi="Times New Roman"/>
                <w:sz w:val="16"/>
                <w:szCs w:val="16"/>
              </w:rPr>
              <w:t>брокерского обслуживания</w:t>
            </w:r>
            <w:r w:rsidRPr="00DD2420">
              <w:rPr>
                <w:rFonts w:ascii="Times New Roman" w:eastAsia="MS Gothic" w:hAnsi="Times New Roman"/>
                <w:sz w:val="16"/>
                <w:szCs w:val="16"/>
              </w:rPr>
              <w:t>);</w:t>
            </w:r>
          </w:p>
          <w:p w14:paraId="51D30AFA" w14:textId="77777777"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ознакомлен с тем, что за совершение специальных сделок РЕПО, специальных сделок своп, сделок по закрытию позиций установлено отдельное вознаграждение;</w:t>
            </w:r>
          </w:p>
          <w:p w14:paraId="2858FA74" w14:textId="77777777"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понимает, что совершение необеспеченных сделок сопряжено с дополнительными рисками.</w:t>
            </w:r>
          </w:p>
          <w:p w14:paraId="788D019D" w14:textId="77777777" w:rsidR="0041750B" w:rsidRPr="00DD2420" w:rsidRDefault="0041750B" w:rsidP="0041750B">
            <w:pPr>
              <w:autoSpaceDE w:val="0"/>
              <w:autoSpaceDN w:val="0"/>
              <w:adjustRightInd w:val="0"/>
              <w:spacing w:before="120" w:after="120" w:line="240" w:lineRule="auto"/>
              <w:jc w:val="both"/>
              <w:rPr>
                <w:rFonts w:ascii="Times New Roman" w:eastAsia="MS Gothic" w:hAnsi="Times New Roman"/>
                <w:sz w:val="16"/>
                <w:szCs w:val="16"/>
              </w:rPr>
            </w:pPr>
            <w:r w:rsidRPr="00DD2420">
              <w:rPr>
                <w:rFonts w:ascii="Times New Roman" w:eastAsia="MS Gothic" w:hAnsi="Times New Roman"/>
                <w:sz w:val="16"/>
                <w:szCs w:val="16"/>
              </w:rPr>
              <w:t>Если иное не установлено соглашением между Компанией и Клиентом, отказ от предоставления Компании права использования в своих интересах денежных средств и/или ценных бумаг Клиента влечет невозможность совершения Клиентом необеспеченных сделок, за исключением сделок, указанных в подп. 1 п. 1.5.7 Регламента осуществления брокерской деятельности.</w:t>
            </w:r>
          </w:p>
          <w:p w14:paraId="6C660FA5" w14:textId="61C99610" w:rsidR="0041750B" w:rsidRDefault="0041750B" w:rsidP="0041750B">
            <w:pPr>
              <w:pStyle w:val="a4"/>
              <w:tabs>
                <w:tab w:val="left" w:pos="1134"/>
              </w:tabs>
              <w:ind w:left="0"/>
              <w:jc w:val="both"/>
              <w:rPr>
                <w:rFonts w:ascii="Times New Roman" w:eastAsia="MS Gothic" w:hAnsi="Times New Roman"/>
                <w:sz w:val="20"/>
                <w:szCs w:val="20"/>
              </w:rPr>
            </w:pPr>
            <w:r w:rsidRPr="00DD2420">
              <w:rPr>
                <w:rFonts w:ascii="Times New Roman" w:eastAsia="MS Gothic" w:hAnsi="Times New Roman"/>
                <w:sz w:val="16"/>
                <w:szCs w:val="16"/>
              </w:rPr>
              <w:t>Клиент-физическое лицо, ставя отметку о предоставлении ему возможности совершения необеспеченных сделок, подтверждает, что он ознакомлен, что поручения физического лица, не являющегося квалифицированным инвестором, на совершение необеспеченных сделок исполняются только после прохождения таким клиентом тестирования по соответствующим сделкам и получения им положительного результата такого тестирования.</w:t>
            </w:r>
          </w:p>
        </w:tc>
      </w:tr>
    </w:tbl>
    <w:p w14:paraId="1AF56BAB" w14:textId="77777777" w:rsidR="0041750B" w:rsidRDefault="0041750B" w:rsidP="00DD2420">
      <w:pPr>
        <w:pStyle w:val="a4"/>
        <w:tabs>
          <w:tab w:val="left" w:pos="1134"/>
        </w:tabs>
        <w:jc w:val="both"/>
        <w:rPr>
          <w:rFonts w:ascii="Times New Roman" w:eastAsia="MS Gothic" w:hAnsi="Times New Roman"/>
          <w:sz w:val="20"/>
          <w:szCs w:val="20"/>
        </w:rPr>
      </w:pPr>
    </w:p>
    <w:p w14:paraId="0C2B4B4D" w14:textId="6B684A40"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lastRenderedPageBreak/>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Во всех этих случаях принудительное закрытие позиции может причинить вам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75656B">
              <w:rPr>
                <w:rFonts w:ascii="Times New Roman" w:hAnsi="Times New Roman"/>
                <w:sz w:val="16"/>
                <w:szCs w:val="16"/>
              </w:rPr>
              <w:t>бо́льшим</w:t>
            </w:r>
            <w:proofErr w:type="spellEnd"/>
            <w:r w:rsidRPr="0075656B">
              <w:rPr>
                <w:rFonts w:ascii="Times New Roman" w:hAnsi="Times New Roman"/>
                <w:sz w:val="16"/>
                <w:szCs w:val="16"/>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Вы можете понести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w:t>
            </w:r>
            <w:r w:rsidRPr="0075656B">
              <w:rPr>
                <w:rFonts w:ascii="Times New Roman" w:hAnsi="Times New Roman"/>
                <w:sz w:val="16"/>
                <w:szCs w:val="16"/>
              </w:rPr>
              <w:lastRenderedPageBreak/>
              <w:t xml:space="preserve">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75656B">
              <w:rPr>
                <w:rFonts w:ascii="Times New Roman" w:hAnsi="Times New Roman"/>
                <w:sz w:val="16"/>
                <w:szCs w:val="16"/>
              </w:rPr>
              <w:t>Clearstream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w:t>
            </w:r>
          </w:p>
          <w:p w14:paraId="503CA910" w14:textId="320744A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w:t>
            </w:r>
            <w:r w:rsidRPr="0075656B">
              <w:rPr>
                <w:rFonts w:ascii="Times New Roman" w:hAnsi="Times New Roman"/>
                <w:sz w:val="16"/>
                <w:szCs w:val="16"/>
              </w:rPr>
              <w:lastRenderedPageBreak/>
              <w:t>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w:t>
            </w:r>
            <w:r w:rsidRPr="0075656B">
              <w:rPr>
                <w:rFonts w:ascii="Times New Roman" w:hAnsi="Times New Roman"/>
                <w:sz w:val="16"/>
                <w:szCs w:val="16"/>
              </w:rPr>
              <w:lastRenderedPageBreak/>
              <w:t>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4A543DC" w14:textId="0DA96C9E" w:rsidR="004E19CE" w:rsidRPr="0075656B" w:rsidRDefault="00723DFC"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участие Компании в сделке с разных сторон в интересах разных Клиентов;</w:t>
            </w:r>
          </w:p>
          <w:p w14:paraId="232F3FEF"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w:t>
            </w:r>
            <w:proofErr w:type="spellStart"/>
            <w:r w:rsidRPr="0075656B">
              <w:rPr>
                <w:rFonts w:ascii="Times New Roman" w:eastAsia="MS Gothic" w:hAnsi="Times New Roman"/>
                <w:sz w:val="16"/>
                <w:szCs w:val="16"/>
              </w:rPr>
              <w:t>ов</w:t>
            </w:r>
            <w:proofErr w:type="spellEnd"/>
            <w:r w:rsidRPr="0075656B">
              <w:rPr>
                <w:rFonts w:ascii="Times New Roman" w:eastAsia="MS Gothic" w:hAnsi="Times New Roman"/>
                <w:sz w:val="16"/>
                <w:szCs w:val="16"/>
              </w:rPr>
              <w:t>) в процессе подготовки работниками Компании инвестиционно-аналитических исследований;</w:t>
            </w:r>
          </w:p>
          <w:p w14:paraId="312B976A"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информации в свободном доступе),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торого осуществляется оценщиком, (</w:t>
            </w:r>
            <w:proofErr w:type="spellStart"/>
            <w:r w:rsidRPr="0075656B">
              <w:rPr>
                <w:rFonts w:ascii="Times New Roman" w:hAnsi="Times New Roman"/>
                <w:sz w:val="16"/>
                <w:szCs w:val="16"/>
              </w:rPr>
              <w:t>iv</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водным финансовым инструментом),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ентом,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lastRenderedPageBreak/>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0215F38D"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r w:rsidR="00631A8F" w:rsidRPr="00631A8F">
              <w:rPr>
                <w:rFonts w:ascii="Times New Roman" w:hAnsi="Times New Roman"/>
                <w:sz w:val="16"/>
                <w:szCs w:val="16"/>
              </w:rPr>
              <w:t>https://www. ikhorizon.ru/</w:t>
            </w:r>
            <w:r w:rsidR="003A0B0D" w:rsidRPr="0075656B">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BB652D">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 xml:space="preserve">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w:t>
            </w:r>
            <w:r w:rsidR="00F06D5A" w:rsidRPr="0075656B">
              <w:rPr>
                <w:rFonts w:ascii="Times New Roman" w:hAnsi="Times New Roman"/>
                <w:sz w:val="16"/>
                <w:szCs w:val="16"/>
              </w:rPr>
              <w:lastRenderedPageBreak/>
              <w:t>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A56A2" w:rsidRDefault="008D112C"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w:t>
            </w:r>
            <w:r w:rsidRPr="007A56A2">
              <w:rPr>
                <w:rFonts w:ascii="Times New Roman" w:hAnsi="Times New Roman"/>
                <w:sz w:val="16"/>
                <w:szCs w:val="16"/>
              </w:rPr>
              <w:t>такого использования, в пользу Клиента;</w:t>
            </w:r>
          </w:p>
          <w:p w14:paraId="5A11DF93" w14:textId="1ED480B7" w:rsidR="00307084" w:rsidRPr="007266D8" w:rsidRDefault="00307084"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я ознакомился (ознакомил</w:t>
            </w:r>
            <w:r w:rsidR="00BC2C3C" w:rsidRPr="007266D8">
              <w:rPr>
                <w:rFonts w:ascii="Times New Roman" w:hAnsi="Times New Roman"/>
                <w:sz w:val="16"/>
                <w:szCs w:val="16"/>
              </w:rPr>
              <w:t>ась</w:t>
            </w:r>
            <w:r w:rsidRPr="007266D8">
              <w:rPr>
                <w:rFonts w:ascii="Times New Roman" w:hAnsi="Times New Roman"/>
                <w:sz w:val="16"/>
                <w:szCs w:val="16"/>
              </w:rPr>
              <w:t xml:space="preserve">) с порядком и </w:t>
            </w:r>
            <w:r w:rsidR="00BC2C3C" w:rsidRPr="007266D8">
              <w:rPr>
                <w:rFonts w:ascii="Times New Roman" w:hAnsi="Times New Roman"/>
                <w:sz w:val="16"/>
                <w:szCs w:val="16"/>
              </w:rPr>
              <w:t xml:space="preserve">условиями использования Компанией ценных бумаг клиентов, изложенных в </w:t>
            </w:r>
            <w:r w:rsidR="00CF280B" w:rsidRPr="007266D8">
              <w:rPr>
                <w:rFonts w:ascii="Times New Roman" w:hAnsi="Times New Roman"/>
                <w:sz w:val="16"/>
                <w:szCs w:val="16"/>
              </w:rPr>
              <w:t>р</w:t>
            </w:r>
            <w:r w:rsidR="00BC2C3C" w:rsidRPr="007266D8">
              <w:rPr>
                <w:rFonts w:ascii="Times New Roman" w:hAnsi="Times New Roman"/>
                <w:sz w:val="16"/>
                <w:szCs w:val="16"/>
              </w:rPr>
              <w:t xml:space="preserve">азделе </w:t>
            </w:r>
            <w:r w:rsidR="00BC2C3C" w:rsidRPr="00DD2420">
              <w:rPr>
                <w:rFonts w:ascii="Times New Roman" w:hAnsi="Times New Roman"/>
                <w:sz w:val="16"/>
                <w:szCs w:val="16"/>
              </w:rPr>
              <w:t>1.</w:t>
            </w:r>
            <w:r w:rsidR="00B21453" w:rsidRPr="00DD2420">
              <w:rPr>
                <w:rFonts w:ascii="Times New Roman" w:hAnsi="Times New Roman"/>
                <w:sz w:val="16"/>
                <w:szCs w:val="16"/>
              </w:rPr>
              <w:t xml:space="preserve">10 </w:t>
            </w:r>
            <w:r w:rsidR="00BC2C3C" w:rsidRPr="007A56A2">
              <w:rPr>
                <w:rFonts w:ascii="Times New Roman" w:hAnsi="Times New Roman"/>
                <w:sz w:val="16"/>
                <w:szCs w:val="16"/>
              </w:rPr>
              <w:t xml:space="preserve">Регламента </w:t>
            </w:r>
            <w:r w:rsidR="006D02DE" w:rsidRPr="007A56A2">
              <w:rPr>
                <w:rFonts w:ascii="Times New Roman" w:eastAsia="MS Gothic" w:hAnsi="Times New Roman"/>
                <w:sz w:val="16"/>
                <w:szCs w:val="16"/>
              </w:rPr>
              <w:t>брокерского обслуживания</w:t>
            </w:r>
            <w:r w:rsidR="00BC2C3C" w:rsidRPr="007A56A2">
              <w:rPr>
                <w:rFonts w:ascii="Times New Roman" w:hAnsi="Times New Roman"/>
                <w:sz w:val="16"/>
                <w:szCs w:val="16"/>
              </w:rPr>
              <w:t xml:space="preserve">, в том числе мне известно, </w:t>
            </w:r>
            <w:r w:rsidR="000918A7" w:rsidRPr="007A56A2">
              <w:rPr>
                <w:rFonts w:ascii="Times New Roman" w:hAnsi="Times New Roman"/>
                <w:sz w:val="16"/>
                <w:szCs w:val="16"/>
              </w:rPr>
              <w:t>что использование Компанией ценных бумаг осуществляется на безвозмездно</w:t>
            </w:r>
            <w:r w:rsidR="009753E9" w:rsidRPr="007266D8">
              <w:rPr>
                <w:rFonts w:ascii="Times New Roman" w:hAnsi="Times New Roman"/>
                <w:sz w:val="16"/>
                <w:szCs w:val="16"/>
              </w:rPr>
              <w:t>й</w:t>
            </w:r>
            <w:r w:rsidR="000918A7" w:rsidRPr="007266D8">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266D8">
              <w:rPr>
                <w:rFonts w:ascii="Times New Roman" w:hAnsi="Times New Roman"/>
                <w:sz w:val="16"/>
                <w:szCs w:val="16"/>
              </w:rPr>
              <w:t>льзу Клиента</w:t>
            </w:r>
            <w:r w:rsidR="0092227C" w:rsidRPr="007266D8">
              <w:rPr>
                <w:rFonts w:ascii="Times New Roman" w:hAnsi="Times New Roman"/>
                <w:sz w:val="16"/>
                <w:szCs w:val="16"/>
              </w:rPr>
              <w:t>;</w:t>
            </w:r>
          </w:p>
          <w:p w14:paraId="7ABAEF41" w14:textId="044FD056" w:rsidR="00875B33" w:rsidRPr="0075656B" w:rsidRDefault="00875B33"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266D8">
              <w:rPr>
                <w:rFonts w:ascii="Times New Roman" w:hAnsi="Times New Roman"/>
                <w:sz w:val="16"/>
                <w:szCs w:val="16"/>
              </w:rPr>
              <w:t>к</w:t>
            </w:r>
            <w:r w:rsidRPr="00925498">
              <w:rPr>
                <w:rFonts w:ascii="Times New Roman" w:hAnsi="Times New Roman"/>
                <w:sz w:val="16"/>
                <w:szCs w:val="16"/>
              </w:rPr>
              <w:t xml:space="preserve">лиринговому центру, изложенным в </w:t>
            </w:r>
            <w:r w:rsidR="00CF280B" w:rsidRPr="00925498">
              <w:rPr>
                <w:rFonts w:ascii="Times New Roman" w:hAnsi="Times New Roman"/>
                <w:sz w:val="16"/>
                <w:szCs w:val="16"/>
              </w:rPr>
              <w:t>р</w:t>
            </w:r>
            <w:r w:rsidRPr="00925498">
              <w:rPr>
                <w:rFonts w:ascii="Times New Roman" w:hAnsi="Times New Roman"/>
                <w:sz w:val="16"/>
                <w:szCs w:val="16"/>
              </w:rPr>
              <w:t xml:space="preserve">азделе </w:t>
            </w:r>
            <w:r w:rsidRPr="00DD2420">
              <w:rPr>
                <w:rFonts w:ascii="Times New Roman" w:hAnsi="Times New Roman"/>
                <w:sz w:val="16"/>
                <w:szCs w:val="16"/>
              </w:rPr>
              <w:t>1.</w:t>
            </w:r>
            <w:r w:rsidR="00B21453" w:rsidRPr="00DD2420">
              <w:rPr>
                <w:rFonts w:ascii="Times New Roman" w:hAnsi="Times New Roman"/>
                <w:sz w:val="16"/>
                <w:szCs w:val="16"/>
              </w:rPr>
              <w:t xml:space="preserve">12 </w:t>
            </w:r>
            <w:r w:rsidRPr="007A56A2">
              <w:rPr>
                <w:rFonts w:ascii="Times New Roman" w:hAnsi="Times New Roman"/>
                <w:sz w:val="16"/>
                <w:szCs w:val="16"/>
              </w:rPr>
              <w:t>Регламента</w:t>
            </w:r>
            <w:r w:rsidR="00593EA3" w:rsidRPr="007A56A2">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7"/>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11762DD2"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налоговый вычет.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w:t>
            </w:r>
            <w:r w:rsidR="007266D8">
              <w:rPr>
                <w:rFonts w:ascii="Times New Roman" w:hAnsi="Times New Roman"/>
                <w:sz w:val="16"/>
                <w:szCs w:val="16"/>
              </w:rPr>
              <w:t>7</w:t>
            </w:r>
            <w:r w:rsidR="00B369B8" w:rsidRPr="0075656B">
              <w:rPr>
                <w:rFonts w:ascii="Times New Roman" w:hAnsi="Times New Roman"/>
                <w:sz w:val="16"/>
                <w:szCs w:val="16"/>
              </w:rPr>
              <w:t xml:space="preserve">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4B890468"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Существует два вида налоговых вычета на долгосрочные сбережения граждан, связанных с индивидуальными инвестиционными счетами:</w:t>
            </w:r>
          </w:p>
          <w:p w14:paraId="627AF6CD"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225AFB54"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17688BBA"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1F5083C6" w14:textId="1C031C3F" w:rsidR="00D44DD0" w:rsidRDefault="00925498" w:rsidP="000B6B66">
            <w:pPr>
              <w:pStyle w:val="a4"/>
              <w:tabs>
                <w:tab w:val="left" w:pos="1134"/>
              </w:tabs>
              <w:spacing w:after="120"/>
              <w:ind w:left="0"/>
              <w:jc w:val="both"/>
              <w:rPr>
                <w:rFonts w:ascii="Times New Roman" w:eastAsia="MS Gothic" w:hAnsi="Times New Roman"/>
                <w:sz w:val="16"/>
                <w:szCs w:val="16"/>
              </w:rPr>
            </w:pPr>
            <w:r w:rsidRPr="00925498">
              <w:rPr>
                <w:rFonts w:ascii="Times New Roman" w:hAnsi="Times New Roman"/>
                <w:sz w:val="16"/>
                <w:szCs w:val="16"/>
              </w:rPr>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p>
          <w:p w14:paraId="439E5B41" w14:textId="77777777" w:rsidR="00925498" w:rsidRDefault="00925498"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DF0604"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End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DF0604"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4C54051B" w:rsidR="007266D8" w:rsidRPr="0075656B" w:rsidRDefault="00D44DD0" w:rsidP="00925498">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 xml:space="preserve">для целей передачи на него </w:t>
            </w:r>
            <w:r w:rsidR="00A43A10">
              <w:rPr>
                <w:rFonts w:ascii="Times New Roman" w:eastAsia="MS Gothic" w:hAnsi="Times New Roman"/>
                <w:sz w:val="16"/>
                <w:szCs w:val="16"/>
              </w:rPr>
              <w:t>активов</w:t>
            </w:r>
            <w:r w:rsidRPr="008A5BC4">
              <w:rPr>
                <w:rFonts w:ascii="Times New Roman" w:eastAsia="MS Gothic" w:hAnsi="Times New Roman"/>
                <w:sz w:val="16"/>
                <w:szCs w:val="16"/>
              </w:rPr>
              <w:t xml:space="preserve"> </w:t>
            </w:r>
          </w:p>
        </w:tc>
      </w:tr>
    </w:tbl>
    <w:p w14:paraId="56CFCBDC" w14:textId="4E54AC75"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lastRenderedPageBreak/>
        <w:t>Для физических лиц, одновременно отвечающих следующим условиям: (</w:t>
      </w:r>
      <w:r>
        <w:rPr>
          <w:rFonts w:ascii="Times New Roman" w:eastAsia="MS Gothic" w:hAnsi="Times New Roman"/>
          <w:sz w:val="20"/>
          <w:szCs w:val="20"/>
          <w:lang w:val="en-US"/>
        </w:rPr>
        <w:t>i</w:t>
      </w:r>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5495A">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41750B">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2168E191"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w:t>
            </w:r>
            <w:r w:rsidR="00925498">
              <w:rPr>
                <w:rFonts w:ascii="Times New Roman" w:eastAsia="MS Gothic" w:hAnsi="Times New Roman"/>
                <w:sz w:val="16"/>
                <w:szCs w:val="16"/>
              </w:rPr>
              <w:t>7</w:t>
            </w:r>
            <w:r w:rsidRPr="008A5BC4">
              <w:rPr>
                <w:rFonts w:ascii="Times New Roman" w:eastAsia="MS Gothic" w:hAnsi="Times New Roman"/>
                <w:sz w:val="16"/>
                <w:szCs w:val="16"/>
              </w:rPr>
              <w:t xml:space="preserve">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33C38118" w:rsidR="00D44DD0" w:rsidRDefault="00DF0604"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End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w:t>
            </w:r>
            <w:r w:rsidR="00A43A10">
              <w:rPr>
                <w:rFonts w:ascii="Times New Roman" w:eastAsia="MS Gothic" w:hAnsi="Times New Roman"/>
                <w:sz w:val="16"/>
                <w:szCs w:val="16"/>
              </w:rPr>
              <w:t>активо</w:t>
            </w:r>
            <w:r w:rsidR="003441E1">
              <w:rPr>
                <w:rFonts w:ascii="Times New Roman" w:eastAsia="MS Gothic" w:hAnsi="Times New Roman"/>
                <w:sz w:val="16"/>
                <w:szCs w:val="16"/>
              </w:rPr>
              <w:t>в</w:t>
            </w:r>
            <w:r w:rsidR="00D44DD0" w:rsidRPr="008A5BC4">
              <w:rPr>
                <w:rFonts w:ascii="Times New Roman" w:eastAsia="MS Gothic" w:hAnsi="Times New Roman"/>
                <w:sz w:val="16"/>
                <w:szCs w:val="16"/>
              </w:rPr>
              <w:t xml:space="preserve">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DF0604"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06619B17"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lastRenderedPageBreak/>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r w:rsidR="00631A8F" w:rsidRPr="00902781">
        <w:rPr>
          <w:rFonts w:ascii="Times New Roman" w:eastAsia="MS Gothic" w:hAnsi="Times New Roman"/>
          <w:sz w:val="16"/>
          <w:szCs w:val="16"/>
        </w:rPr>
        <w:t>https://www. ikhorizon.ru</w:t>
      </w:r>
      <w:r w:rsidR="00973D4E"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w:t>
      </w:r>
      <w:r w:rsidRPr="00973BCF">
        <w:rPr>
          <w:rFonts w:ascii="Times New Roman" w:eastAsia="MS Gothic" w:hAnsi="Times New Roman"/>
          <w:sz w:val="16"/>
          <w:szCs w:val="16"/>
        </w:rPr>
        <w:t xml:space="preserve">в Приложении № </w:t>
      </w:r>
      <w:r w:rsidR="00C0115E" w:rsidRPr="00973BCF">
        <w:rPr>
          <w:rFonts w:ascii="Times New Roman" w:eastAsia="MS Gothic" w:hAnsi="Times New Roman"/>
          <w:sz w:val="16"/>
          <w:szCs w:val="16"/>
        </w:rPr>
        <w:t xml:space="preserve">1.2 </w:t>
      </w:r>
      <w:r w:rsidR="00236625" w:rsidRPr="00973BCF">
        <w:rPr>
          <w:rFonts w:ascii="Times New Roman" w:eastAsia="MS Gothic" w:hAnsi="Times New Roman"/>
          <w:sz w:val="16"/>
          <w:szCs w:val="16"/>
        </w:rPr>
        <w:t>к</w:t>
      </w:r>
      <w:r w:rsidR="00236625" w:rsidRPr="0075656B">
        <w:rPr>
          <w:rFonts w:ascii="Times New Roman" w:eastAsia="MS Gothic" w:hAnsi="Times New Roman"/>
          <w:sz w:val="16"/>
          <w:szCs w:val="16"/>
        </w:rPr>
        <w:t xml:space="preserve">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524CA611"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52BEF3FF" w:rsidR="00232DB2" w:rsidRPr="0075656B" w:rsidRDefault="00DF0604"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в 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02D242DF" w:rsidR="0080710A" w:rsidRPr="0075656B" w:rsidRDefault="00DF0604"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03FBDB64"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7A9344D6" w:rsidR="00232DB2" w:rsidRPr="0075656B" w:rsidRDefault="00DF0604"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End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DF0604"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79FA74EE" w:rsidR="00446AD5" w:rsidRPr="0075656B" w:rsidRDefault="00DF0604"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End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005DE695"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lastRenderedPageBreak/>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4BD149FF" w:rsidR="00ED50A6" w:rsidRPr="0075656B" w:rsidRDefault="00DF0604"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12405B20"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4878A64D" w:rsidR="00F40856" w:rsidRPr="0075656B" w:rsidRDefault="00DF0604"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5790A3F3"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1CC42EFB" w:rsidR="00ED50A6" w:rsidRPr="0075656B" w:rsidRDefault="00DF0604"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DF0604"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End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694878A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77143A87"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5E164BE5"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486F242D"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24FAE3B2"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47FDDF88"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1" w:name="_Hlk176947410"/>
      <w:r w:rsidR="007C7CCD" w:rsidRPr="00902781">
        <w:rPr>
          <w:rFonts w:ascii="Times New Roman" w:eastAsia="MS Gothic" w:hAnsi="Times New Roman"/>
          <w:sz w:val="16"/>
          <w:szCs w:val="16"/>
        </w:rPr>
        <w:t>https://www. ikhorizon.ru</w:t>
      </w:r>
      <w:bookmarkEnd w:id="1"/>
      <w:r w:rsidR="007C7CCD" w:rsidRPr="00902781">
        <w:rPr>
          <w:rFonts w:ascii="Times New Roman" w:eastAsia="MS Gothic" w:hAnsi="Times New Roman"/>
          <w:sz w:val="16"/>
          <w:szCs w:val="16"/>
        </w:rPr>
        <w:t>/</w:t>
      </w:r>
      <w:r w:rsidRPr="008A5BC4">
        <w:rPr>
          <w:rFonts w:ascii="Times New Roman" w:eastAsia="MS Gothic" w:hAnsi="Times New Roman"/>
          <w:sz w:val="16"/>
          <w:szCs w:val="16"/>
        </w:rPr>
        <w:t>ознакомлен.</w:t>
      </w:r>
    </w:p>
    <w:p w14:paraId="1B686A45" w14:textId="71754343" w:rsidR="00221B84" w:rsidRPr="0075656B"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0FC18C05" w14:textId="77777777" w:rsidR="00221B84" w:rsidRPr="0075656B" w:rsidRDefault="00221B84"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0F256314" w14:textId="0245A618"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Я ознакомлен и путем подписания настоящего Заявления </w:t>
      </w:r>
      <w:r w:rsidR="00E97021" w:rsidRPr="0075656B">
        <w:rPr>
          <w:rFonts w:ascii="Times New Roman" w:eastAsia="MS Gothic" w:hAnsi="Times New Roman"/>
          <w:sz w:val="16"/>
          <w:szCs w:val="16"/>
        </w:rPr>
        <w:t>выражаю</w:t>
      </w:r>
      <w:r w:rsidRPr="0075656B">
        <w:rPr>
          <w:rFonts w:ascii="Times New Roman" w:eastAsia="MS Gothic" w:hAnsi="Times New Roman"/>
          <w:sz w:val="16"/>
          <w:szCs w:val="16"/>
        </w:rPr>
        <w:t xml:space="preserve"> свое согласие с тем, что </w:t>
      </w:r>
      <w:r w:rsidR="006B136A">
        <w:rPr>
          <w:rFonts w:ascii="Times New Roman" w:eastAsia="MS Gothic" w:hAnsi="Times New Roman"/>
          <w:sz w:val="16"/>
          <w:szCs w:val="16"/>
        </w:rPr>
        <w:t>Акционерно</w:t>
      </w:r>
      <w:r w:rsidR="00B127FE">
        <w:rPr>
          <w:rFonts w:ascii="Times New Roman" w:eastAsia="MS Gothic" w:hAnsi="Times New Roman"/>
          <w:sz w:val="16"/>
          <w:szCs w:val="16"/>
        </w:rPr>
        <w:t>е</w:t>
      </w:r>
      <w:r w:rsidR="006B136A">
        <w:rPr>
          <w:rFonts w:ascii="Times New Roman" w:eastAsia="MS Gothic" w:hAnsi="Times New Roman"/>
          <w:sz w:val="16"/>
          <w:szCs w:val="16"/>
        </w:rPr>
        <w:t xml:space="preserve"> обществ</w:t>
      </w:r>
      <w:r w:rsidR="00B127FE">
        <w:rPr>
          <w:rFonts w:ascii="Times New Roman" w:eastAsia="MS Gothic" w:hAnsi="Times New Roman"/>
          <w:sz w:val="16"/>
          <w:szCs w:val="16"/>
        </w:rPr>
        <w:t>о</w:t>
      </w:r>
      <w:r w:rsidR="006B136A">
        <w:rPr>
          <w:rFonts w:ascii="Times New Roman" w:eastAsia="MS Gothic" w:hAnsi="Times New Roman"/>
          <w:sz w:val="16"/>
          <w:szCs w:val="16"/>
        </w:rPr>
        <w:t xml:space="preserve"> «Инвестиционная компания «Горизонт»</w:t>
      </w:r>
      <w:r w:rsidR="006D02DE" w:rsidRPr="0075656B">
        <w:rPr>
          <w:rFonts w:ascii="Times New Roman" w:eastAsia="MS Gothic" w:hAnsi="Times New Roman"/>
          <w:sz w:val="16"/>
          <w:szCs w:val="16"/>
        </w:rPr>
        <w:t xml:space="preserve"> </w:t>
      </w:r>
      <w:r w:rsidRPr="004F13E1">
        <w:rPr>
          <w:rFonts w:ascii="Times New Roman" w:eastAsia="MS Gothic" w:hAnsi="Times New Roman"/>
          <w:sz w:val="16"/>
          <w:szCs w:val="16"/>
        </w:rPr>
        <w:t>(место нахождения:</w:t>
      </w:r>
      <w:r w:rsidR="006D02DE" w:rsidRPr="004F13E1">
        <w:rPr>
          <w:rFonts w:ascii="Times New Roman" w:eastAsia="MS Gothic" w:hAnsi="Times New Roman"/>
          <w:sz w:val="16"/>
          <w:szCs w:val="16"/>
        </w:rPr>
        <w:t xml:space="preserve">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w:t>
      </w:r>
      <w:proofErr w:type="spellStart"/>
      <w:r w:rsidR="004F13E1" w:rsidRPr="004F13E1">
        <w:rPr>
          <w:rFonts w:ascii="Times New Roman" w:hAnsi="Times New Roman"/>
          <w:sz w:val="16"/>
          <w:szCs w:val="16"/>
        </w:rPr>
        <w:t>наб.Пресненская</w:t>
      </w:r>
      <w:proofErr w:type="spellEnd"/>
      <w:r w:rsidR="004F13E1" w:rsidRPr="004F13E1">
        <w:rPr>
          <w:rFonts w:ascii="Times New Roman" w:hAnsi="Times New Roman"/>
          <w:sz w:val="16"/>
          <w:szCs w:val="16"/>
        </w:rPr>
        <w:t xml:space="preserve">,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4F13E1">
        <w:rPr>
          <w:rFonts w:ascii="Times New Roman" w:eastAsia="MS Gothic" w:hAnsi="Times New Roman"/>
          <w:sz w:val="16"/>
          <w:szCs w:val="16"/>
        </w:rPr>
        <w:t>)</w:t>
      </w:r>
      <w:r w:rsidRPr="0075656B">
        <w:rPr>
          <w:rFonts w:ascii="Times New Roman" w:eastAsia="MS Gothic" w:hAnsi="Times New Roman"/>
          <w:sz w:val="16"/>
          <w:szCs w:val="16"/>
        </w:rPr>
        <w:t xml:space="preserve"> (далее – Компания) будет в соответствии с ФЗ «О персональных данных» осуществлять обработку моих персональных данных, содержащихся в </w:t>
      </w:r>
      <w:r w:rsidR="005E02F8" w:rsidRPr="0075656B">
        <w:rPr>
          <w:rFonts w:ascii="Times New Roman" w:eastAsia="MS Gothic" w:hAnsi="Times New Roman"/>
          <w:sz w:val="16"/>
          <w:szCs w:val="16"/>
        </w:rPr>
        <w:t>анкетах</w:t>
      </w:r>
      <w:r w:rsidRPr="0075656B">
        <w:rPr>
          <w:rFonts w:ascii="Times New Roman" w:eastAsia="MS Gothic" w:hAnsi="Times New Roman"/>
          <w:sz w:val="16"/>
          <w:szCs w:val="16"/>
        </w:rPr>
        <w:t xml:space="preserve">, доверенностях, заявлениях и иных документах, предоставляемых </w:t>
      </w:r>
      <w:r w:rsidR="00D630D0" w:rsidRPr="0075656B">
        <w:rPr>
          <w:rFonts w:ascii="Times New Roman" w:eastAsia="MS Gothic" w:hAnsi="Times New Roman"/>
          <w:sz w:val="16"/>
          <w:szCs w:val="16"/>
        </w:rPr>
        <w:t xml:space="preserve">мною </w:t>
      </w:r>
      <w:r w:rsidRPr="0075656B">
        <w:rPr>
          <w:rFonts w:ascii="Times New Roman" w:eastAsia="MS Gothic" w:hAnsi="Times New Roman"/>
          <w:sz w:val="16"/>
          <w:szCs w:val="16"/>
        </w:rPr>
        <w:t>Компании</w:t>
      </w:r>
      <w:r w:rsidR="00D630D0" w:rsidRPr="0075656B">
        <w:rPr>
          <w:rFonts w:ascii="Times New Roman" w:eastAsia="MS Gothic" w:hAnsi="Times New Roman"/>
          <w:sz w:val="16"/>
          <w:szCs w:val="16"/>
        </w:rPr>
        <w:t>.</w:t>
      </w:r>
    </w:p>
    <w:p w14:paraId="4B96C82D" w14:textId="68C253C9" w:rsidR="00E97021" w:rsidRDefault="00D630D0"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lastRenderedPageBreak/>
        <w:t>Согласие предоставляется</w:t>
      </w:r>
      <w:r w:rsidR="00FB3AEA"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 xml:space="preserve">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Компания вправе передавать персональные данные, понимаются контрагенты по сделкам, совершаемым Компанией </w:t>
      </w:r>
      <w:r w:rsidR="007A56A2">
        <w:rPr>
          <w:rFonts w:ascii="Times New Roman" w:eastAsia="MS Gothic" w:hAnsi="Times New Roman"/>
          <w:sz w:val="16"/>
          <w:szCs w:val="16"/>
        </w:rPr>
        <w:t>поручению</w:t>
      </w:r>
      <w:r w:rsidR="00F06BFE" w:rsidRPr="0075656B">
        <w:rPr>
          <w:rFonts w:ascii="Times New Roman" w:eastAsia="MS Gothic" w:hAnsi="Times New Roman"/>
          <w:sz w:val="16"/>
          <w:szCs w:val="16"/>
        </w:rPr>
        <w:t xml:space="preserve"> субъекта персональных данных, </w:t>
      </w:r>
      <w:r w:rsidR="007A56A2" w:rsidRPr="007A56A2">
        <w:rPr>
          <w:rFonts w:ascii="Times New Roman" w:eastAsia="MS Gothic" w:hAnsi="Times New Roman"/>
          <w:sz w:val="16"/>
          <w:szCs w:val="16"/>
        </w:rPr>
        <w:t>эмитенты (лица, обязанные по ценным бумагам), вышестоящие депозитарии, регистраторы, организаторы торгов, клиринговые организации, репозитарии,</w:t>
      </w:r>
      <w:r w:rsidR="007A56A2">
        <w:rPr>
          <w:rFonts w:ascii="Times New Roman" w:eastAsia="MS Gothic" w:hAnsi="Times New Roman"/>
          <w:sz w:val="16"/>
          <w:szCs w:val="16"/>
        </w:rPr>
        <w:t xml:space="preserve"> </w:t>
      </w:r>
      <w:r w:rsidR="007A56A2" w:rsidRPr="007A56A2">
        <w:rPr>
          <w:rFonts w:ascii="Times New Roman" w:eastAsia="MS Gothic" w:hAnsi="Times New Roman"/>
          <w:sz w:val="16"/>
          <w:szCs w:val="16"/>
        </w:rPr>
        <w:t xml:space="preserve">лица, участвующие или связанные с участием в исполнении поручений Клиента и (или) сделок (операций), совершенных (исполняемых) на основании поручений Клиента, в том числе </w:t>
      </w:r>
      <w:r w:rsidR="00F06BFE" w:rsidRPr="0075656B">
        <w:rPr>
          <w:rFonts w:ascii="Times New Roman" w:eastAsia="MS Gothic" w:hAnsi="Times New Roman"/>
          <w:sz w:val="16"/>
          <w:szCs w:val="16"/>
        </w:rPr>
        <w:t>лица, которым Компания поруча</w:t>
      </w:r>
      <w:r w:rsidR="007A56A2">
        <w:rPr>
          <w:rFonts w:ascii="Times New Roman" w:eastAsia="MS Gothic" w:hAnsi="Times New Roman"/>
          <w:sz w:val="16"/>
          <w:szCs w:val="16"/>
        </w:rPr>
        <w:t>е</w:t>
      </w:r>
      <w:r w:rsidR="00F06BFE" w:rsidRPr="0075656B">
        <w:rPr>
          <w:rFonts w:ascii="Times New Roman" w:eastAsia="MS Gothic" w:hAnsi="Times New Roman"/>
          <w:sz w:val="16"/>
          <w:szCs w:val="16"/>
        </w:rPr>
        <w:t>т совершение действий, направленных на реализацию целей обработки персональных данных.</w:t>
      </w:r>
    </w:p>
    <w:p w14:paraId="14121CA2" w14:textId="6873006A" w:rsidR="00E97021" w:rsidRPr="0075656B" w:rsidRDefault="00E97021"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выражаю свое согласие с тем, что Компания как оператор персональных данных вправе поручить обработку моих персональных данных, содержащихся в анкетах, доверенностях, заявлениях и иных документах, предоставляемых мною Компании, другим лицам для целей реализации целей обработки персональных данных.</w:t>
      </w:r>
    </w:p>
    <w:p w14:paraId="1E3C60E6" w14:textId="30BE449E"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Целью обработки персональных данных явля</w:t>
      </w:r>
      <w:r w:rsidR="00F06BFE" w:rsidRPr="0075656B">
        <w:rPr>
          <w:rFonts w:ascii="Times New Roman" w:eastAsia="MS Gothic" w:hAnsi="Times New Roman"/>
          <w:sz w:val="16"/>
          <w:szCs w:val="16"/>
        </w:rPr>
        <w:t>ю</w:t>
      </w:r>
      <w:r w:rsidRPr="0075656B">
        <w:rPr>
          <w:rFonts w:ascii="Times New Roman" w:eastAsia="MS Gothic" w:hAnsi="Times New Roman"/>
          <w:sz w:val="16"/>
          <w:szCs w:val="16"/>
        </w:rPr>
        <w:t xml:space="preserve">тся </w:t>
      </w:r>
      <w:r w:rsidR="00F06BFE" w:rsidRPr="0075656B">
        <w:rPr>
          <w:rFonts w:ascii="Times New Roman" w:eastAsia="MS Gothic" w:hAnsi="Times New Roman"/>
          <w:sz w:val="16"/>
          <w:szCs w:val="16"/>
        </w:rPr>
        <w:t>(i)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00F06BFE" w:rsidRPr="0075656B">
        <w:rPr>
          <w:rFonts w:ascii="Times New Roman" w:eastAsia="MS Gothic" w:hAnsi="Times New Roman"/>
          <w:sz w:val="16"/>
          <w:szCs w:val="16"/>
        </w:rPr>
        <w:t>ii</w:t>
      </w:r>
      <w:proofErr w:type="spellEnd"/>
      <w:r w:rsidR="00F06BFE" w:rsidRPr="0075656B">
        <w:rPr>
          <w:rFonts w:ascii="Times New Roman" w:eastAsia="MS Gothic" w:hAnsi="Times New Roman"/>
          <w:sz w:val="16"/>
          <w:szCs w:val="16"/>
        </w:rPr>
        <w:t>) продвижение товаров и услуг Компании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Компании, (</w:t>
      </w:r>
      <w:proofErr w:type="spellStart"/>
      <w:r w:rsidR="00F06BFE" w:rsidRPr="0075656B">
        <w:rPr>
          <w:rFonts w:ascii="Times New Roman" w:eastAsia="MS Gothic" w:hAnsi="Times New Roman"/>
          <w:sz w:val="16"/>
          <w:szCs w:val="16"/>
        </w:rPr>
        <w:t>iii</w:t>
      </w:r>
      <w:proofErr w:type="spellEnd"/>
      <w:r w:rsidR="00F06BFE" w:rsidRPr="0075656B">
        <w:rPr>
          <w:rFonts w:ascii="Times New Roman" w:eastAsia="MS Gothic" w:hAnsi="Times New Roman"/>
          <w:sz w:val="16"/>
          <w:szCs w:val="16"/>
        </w:rPr>
        <w:t xml:space="preserve">) </w:t>
      </w:r>
      <w:r w:rsidR="00933093" w:rsidRPr="0075656B">
        <w:rPr>
          <w:rFonts w:ascii="Times New Roman" w:eastAsia="MS Gothic" w:hAnsi="Times New Roman"/>
          <w:sz w:val="16"/>
          <w:szCs w:val="16"/>
        </w:rPr>
        <w:t>предоставление аналитических материалов, а также новостей, связанных с деятельность Компании, финансового рынка в целом; (</w:t>
      </w:r>
      <w:r w:rsidR="00933093" w:rsidRPr="0075656B">
        <w:rPr>
          <w:rFonts w:ascii="Times New Roman" w:eastAsia="MS Gothic" w:hAnsi="Times New Roman"/>
          <w:sz w:val="16"/>
          <w:szCs w:val="16"/>
          <w:lang w:val="en-US"/>
        </w:rPr>
        <w:t>iv</w:t>
      </w:r>
      <w:r w:rsidR="00933093"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контроль за качеством оказываемых Компанией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0D5E1599" w14:textId="404A64CF"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Сроки обработки персональных данных: с даты предоставления данных Компании и </w:t>
      </w:r>
      <w:r w:rsidR="00AE277B" w:rsidRPr="0075656B">
        <w:rPr>
          <w:rFonts w:ascii="Times New Roman" w:eastAsia="MS Gothic" w:hAnsi="Times New Roman"/>
          <w:sz w:val="16"/>
          <w:szCs w:val="16"/>
        </w:rPr>
        <w:t xml:space="preserve">до истечения 5 (пяти) лет со дня прекращения договорных отношений с Компанией - в случае заключения Договора/Договоров на основании настоящего Заявления или </w:t>
      </w:r>
      <w:r w:rsidRPr="0075656B">
        <w:rPr>
          <w:rFonts w:ascii="Times New Roman" w:eastAsia="MS Gothic" w:hAnsi="Times New Roman"/>
          <w:sz w:val="16"/>
          <w:szCs w:val="16"/>
        </w:rPr>
        <w:t xml:space="preserve">в течение 5 (пяти) лет со дня предоставления данных Компании </w:t>
      </w:r>
      <w:r w:rsidR="00AE277B" w:rsidRPr="0075656B">
        <w:rPr>
          <w:rFonts w:ascii="Times New Roman" w:eastAsia="MS Gothic" w:hAnsi="Times New Roman"/>
          <w:sz w:val="16"/>
          <w:szCs w:val="16"/>
        </w:rPr>
        <w:t xml:space="preserve">- в случае не заключения ни Договора о </w:t>
      </w:r>
      <w:r w:rsidR="00890CF6">
        <w:rPr>
          <w:rFonts w:ascii="Times New Roman" w:eastAsia="MS Gothic" w:hAnsi="Times New Roman"/>
          <w:sz w:val="16"/>
          <w:szCs w:val="16"/>
        </w:rPr>
        <w:t>б</w:t>
      </w:r>
      <w:r w:rsidR="00AE277B" w:rsidRPr="0075656B">
        <w:rPr>
          <w:rFonts w:ascii="Times New Roman" w:eastAsia="MS Gothic" w:hAnsi="Times New Roman"/>
          <w:sz w:val="16"/>
          <w:szCs w:val="16"/>
        </w:rPr>
        <w:t>рокерском обслуживании, ни Депозитарного договора на основании настоящего Заявления,</w:t>
      </w:r>
      <w:r w:rsidRPr="0075656B">
        <w:rPr>
          <w:rFonts w:ascii="Times New Roman" w:eastAsia="MS Gothic" w:hAnsi="Times New Roman"/>
          <w:sz w:val="16"/>
          <w:szCs w:val="16"/>
        </w:rPr>
        <w:t xml:space="preserve"> если иной срок не установлен законодательством Российской Федерации.</w:t>
      </w:r>
    </w:p>
    <w:p w14:paraId="6D6F5157" w14:textId="1E22858A" w:rsidR="00FB3AEA" w:rsidRPr="0075656B" w:rsidRDefault="00F06BFE"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Заявитель вправе в любое время отозвать настоящее согласие на обработку персональных данных, путем направления Компании соответствующего заявления. Такое заявление должно быть направлено в письменной форме по адресу места нахождения Компании</w:t>
      </w:r>
      <w:r w:rsidR="00890CF6">
        <w:rPr>
          <w:rFonts w:ascii="Times New Roman" w:eastAsia="MS Gothic" w:hAnsi="Times New Roman"/>
          <w:sz w:val="16"/>
          <w:szCs w:val="16"/>
        </w:rPr>
        <w:t>,</w:t>
      </w:r>
      <w:r w:rsidRPr="0075656B">
        <w:rPr>
          <w:rFonts w:ascii="Times New Roman" w:eastAsia="MS Gothic" w:hAnsi="Times New Roman"/>
          <w:sz w:val="16"/>
          <w:szCs w:val="16"/>
        </w:rPr>
        <w:t xml:space="preserve"> указанному выше.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8"/>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ECA0" w16cex:dateUtc="2024-09-10T13:04:00Z"/>
  <w16cex:commentExtensible w16cex:durableId="2A8AECFA" w16cex:dateUtc="2024-09-10T13:06:00Z"/>
  <w16cex:commentExtensible w16cex:durableId="2A8AEE72" w16cex:dateUtc="2024-09-10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0D2EE" w14:textId="77777777" w:rsidR="00DF0604" w:rsidRDefault="00DF0604" w:rsidP="00BA3898">
      <w:pPr>
        <w:spacing w:after="0" w:line="240" w:lineRule="auto"/>
      </w:pPr>
      <w:r>
        <w:separator/>
      </w:r>
    </w:p>
  </w:endnote>
  <w:endnote w:type="continuationSeparator" w:id="0">
    <w:p w14:paraId="313552CF" w14:textId="77777777" w:rsidR="00DF0604" w:rsidRDefault="00DF0604" w:rsidP="00BA3898">
      <w:pPr>
        <w:spacing w:after="0" w:line="240" w:lineRule="auto"/>
      </w:pPr>
      <w:r>
        <w:continuationSeparator/>
      </w:r>
    </w:p>
  </w:endnote>
  <w:endnote w:type="continuationNotice" w:id="1">
    <w:p w14:paraId="2B3D9948" w14:textId="77777777" w:rsidR="00DF0604" w:rsidRDefault="00DF0604">
      <w:pPr>
        <w:spacing w:after="0" w:line="240" w:lineRule="auto"/>
      </w:pPr>
    </w:p>
  </w:endnote>
  <w:endnote w:id="2">
    <w:p w14:paraId="5087BCDB" w14:textId="19EDA767" w:rsidR="0041750B" w:rsidRDefault="0041750B" w:rsidP="00DD2420">
      <w:pPr>
        <w:pStyle w:val="af3"/>
        <w:jc w:val="both"/>
      </w:pPr>
      <w:r w:rsidRPr="00DD2420">
        <w:rPr>
          <w:rStyle w:val="af5"/>
          <w:rFonts w:ascii="Times New Roman" w:hAnsi="Times New Roman"/>
          <w:sz w:val="14"/>
          <w:szCs w:val="14"/>
        </w:rPr>
        <w:endnoteRef/>
      </w:r>
      <w:r>
        <w:t xml:space="preserve"> </w:t>
      </w:r>
      <w:r w:rsidRPr="00DD2420">
        <w:rPr>
          <w:rFonts w:ascii="Times New Roman" w:hAnsi="Times New Roman"/>
          <w:sz w:val="14"/>
          <w:szCs w:val="14"/>
        </w:rPr>
        <w:t>Возможность совершения сделок (заключения договоров) на срочном рынке ПАО Московская Биржа предоставляется Клиентам, заявившим о предоставлении им возможности совершения необеспеченных сделок. В случае если в одном Заявлении стоит отметка о регистрации в торговой системе ПАО Московская Биржа: Срочный рынок, при этом Клиент не заявил о предоставлении ему права совершения необеспеченных сделок, Компания не принимает во внимание отметку Клиента о регистрации в торговой системе ПАО Московская Биржа: Срочный рынок.</w:t>
      </w:r>
    </w:p>
  </w:endnote>
  <w:endnote w:id="3">
    <w:p w14:paraId="5EA0E12A" w14:textId="77777777" w:rsidR="0041750B" w:rsidRPr="009B7185" w:rsidRDefault="0041750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4">
    <w:p w14:paraId="3AFBFEBA" w14:textId="1A894157" w:rsidR="0041750B" w:rsidRPr="009B7185"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5">
    <w:p w14:paraId="60BB50F2" w14:textId="77777777" w:rsidR="0041750B" w:rsidRPr="0075656B"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6">
    <w:p w14:paraId="0D1D3181" w14:textId="77777777" w:rsidR="0041750B" w:rsidRPr="0075656B" w:rsidRDefault="0041750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7">
    <w:p w14:paraId="3400D052" w14:textId="77777777" w:rsidR="0041750B" w:rsidRPr="00551845" w:rsidRDefault="0041750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0504" w14:textId="77777777" w:rsidR="0041750B" w:rsidRPr="00E11D62" w:rsidRDefault="0041750B">
    <w:pPr>
      <w:pStyle w:val="ae"/>
      <w:rPr>
        <w:sz w:val="12"/>
        <w:szCs w:val="12"/>
      </w:rPr>
    </w:pPr>
  </w:p>
  <w:p w14:paraId="534FECD2" w14:textId="77777777" w:rsidR="0041750B" w:rsidRPr="00E11D62" w:rsidRDefault="0041750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8110F" w14:textId="77777777" w:rsidR="00DF0604" w:rsidRDefault="00DF0604" w:rsidP="00BA3898">
      <w:pPr>
        <w:spacing w:after="0" w:line="240" w:lineRule="auto"/>
      </w:pPr>
      <w:r>
        <w:separator/>
      </w:r>
    </w:p>
  </w:footnote>
  <w:footnote w:type="continuationSeparator" w:id="0">
    <w:p w14:paraId="0ED9DC70" w14:textId="77777777" w:rsidR="00DF0604" w:rsidRDefault="00DF0604" w:rsidP="00BA3898">
      <w:pPr>
        <w:spacing w:after="0" w:line="240" w:lineRule="auto"/>
      </w:pPr>
      <w:r>
        <w:continuationSeparator/>
      </w:r>
    </w:p>
  </w:footnote>
  <w:footnote w:type="continuationNotice" w:id="1">
    <w:p w14:paraId="78B0D02E" w14:textId="77777777" w:rsidR="00DF0604" w:rsidRDefault="00DF06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E66833"/>
    <w:multiLevelType w:val="hybridMultilevel"/>
    <w:tmpl w:val="83C6AFFC"/>
    <w:lvl w:ilvl="0" w:tplc="04190005">
      <w:start w:val="1"/>
      <w:numFmt w:val="bullet"/>
      <w:lvlText w:val=""/>
      <w:lvlJc w:val="left"/>
      <w:pPr>
        <w:ind w:left="394" w:hanging="360"/>
      </w:pPr>
      <w:rPr>
        <w:rFonts w:ascii="Wingdings" w:hAnsi="Wingding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0"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5"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4"/>
  </w:num>
  <w:num w:numId="3">
    <w:abstractNumId w:val="3"/>
  </w:num>
  <w:num w:numId="4">
    <w:abstractNumId w:val="8"/>
  </w:num>
  <w:num w:numId="5">
    <w:abstractNumId w:val="2"/>
  </w:num>
  <w:num w:numId="6">
    <w:abstractNumId w:val="14"/>
  </w:num>
  <w:num w:numId="7">
    <w:abstractNumId w:val="6"/>
  </w:num>
  <w:num w:numId="8">
    <w:abstractNumId w:val="11"/>
  </w:num>
  <w:num w:numId="9">
    <w:abstractNumId w:val="1"/>
  </w:num>
  <w:num w:numId="10">
    <w:abstractNumId w:val="16"/>
  </w:num>
  <w:num w:numId="11">
    <w:abstractNumId w:val="26"/>
  </w:num>
  <w:num w:numId="12">
    <w:abstractNumId w:val="10"/>
  </w:num>
  <w:num w:numId="13">
    <w:abstractNumId w:val="0"/>
  </w:num>
  <w:num w:numId="14">
    <w:abstractNumId w:val="24"/>
  </w:num>
  <w:num w:numId="15">
    <w:abstractNumId w:val="20"/>
  </w:num>
  <w:num w:numId="16">
    <w:abstractNumId w:val="12"/>
  </w:num>
  <w:num w:numId="17">
    <w:abstractNumId w:val="19"/>
  </w:num>
  <w:num w:numId="18">
    <w:abstractNumId w:val="17"/>
  </w:num>
  <w:num w:numId="19">
    <w:abstractNumId w:val="9"/>
  </w:num>
  <w:num w:numId="20">
    <w:abstractNumId w:val="25"/>
  </w:num>
  <w:num w:numId="21">
    <w:abstractNumId w:val="23"/>
  </w:num>
  <w:num w:numId="22">
    <w:abstractNumId w:val="5"/>
  </w:num>
  <w:num w:numId="23">
    <w:abstractNumId w:val="21"/>
  </w:num>
  <w:num w:numId="24">
    <w:abstractNumId w:val="13"/>
  </w:num>
  <w:num w:numId="25">
    <w:abstractNumId w:val="22"/>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efaultTabStop w:val="708"/>
  <w:characterSpacingControl w:val="doNotCompress"/>
  <w:hdrShapeDefaults>
    <o:shapedefaults v:ext="edit" spidmax="2049"/>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35D1"/>
    <w:rsid w:val="00024227"/>
    <w:rsid w:val="0002435E"/>
    <w:rsid w:val="00024BB7"/>
    <w:rsid w:val="00025EC7"/>
    <w:rsid w:val="0003029C"/>
    <w:rsid w:val="00032473"/>
    <w:rsid w:val="000329E8"/>
    <w:rsid w:val="00032B5D"/>
    <w:rsid w:val="00032E8B"/>
    <w:rsid w:val="00033EC0"/>
    <w:rsid w:val="0003645C"/>
    <w:rsid w:val="0004214D"/>
    <w:rsid w:val="00043EDB"/>
    <w:rsid w:val="000448EB"/>
    <w:rsid w:val="00045B4D"/>
    <w:rsid w:val="000537B7"/>
    <w:rsid w:val="0005386A"/>
    <w:rsid w:val="00053A68"/>
    <w:rsid w:val="0005415C"/>
    <w:rsid w:val="00054E80"/>
    <w:rsid w:val="000567F1"/>
    <w:rsid w:val="00061982"/>
    <w:rsid w:val="00061F25"/>
    <w:rsid w:val="00062AE9"/>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33BD"/>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E64AA"/>
    <w:rsid w:val="000F0224"/>
    <w:rsid w:val="000F14F4"/>
    <w:rsid w:val="000F4EF4"/>
    <w:rsid w:val="000F5E38"/>
    <w:rsid w:val="000F7222"/>
    <w:rsid w:val="00100828"/>
    <w:rsid w:val="00110709"/>
    <w:rsid w:val="00111680"/>
    <w:rsid w:val="00111F93"/>
    <w:rsid w:val="00112F8D"/>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598E"/>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E84"/>
    <w:rsid w:val="002F518F"/>
    <w:rsid w:val="0030029B"/>
    <w:rsid w:val="00300B34"/>
    <w:rsid w:val="00302755"/>
    <w:rsid w:val="00305C39"/>
    <w:rsid w:val="00307084"/>
    <w:rsid w:val="00307203"/>
    <w:rsid w:val="00307EF7"/>
    <w:rsid w:val="00310BE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441E1"/>
    <w:rsid w:val="0035691D"/>
    <w:rsid w:val="00367D4B"/>
    <w:rsid w:val="00370BFE"/>
    <w:rsid w:val="00374CDD"/>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2456"/>
    <w:rsid w:val="00415D6D"/>
    <w:rsid w:val="0041750B"/>
    <w:rsid w:val="00422EDC"/>
    <w:rsid w:val="0042543A"/>
    <w:rsid w:val="004267D1"/>
    <w:rsid w:val="004309A0"/>
    <w:rsid w:val="00434A4C"/>
    <w:rsid w:val="00435909"/>
    <w:rsid w:val="00435A24"/>
    <w:rsid w:val="00444409"/>
    <w:rsid w:val="0044490D"/>
    <w:rsid w:val="004463DF"/>
    <w:rsid w:val="00446AD5"/>
    <w:rsid w:val="00451982"/>
    <w:rsid w:val="0045495A"/>
    <w:rsid w:val="00455D3F"/>
    <w:rsid w:val="004612C6"/>
    <w:rsid w:val="00462508"/>
    <w:rsid w:val="00462764"/>
    <w:rsid w:val="004664A2"/>
    <w:rsid w:val="004668EF"/>
    <w:rsid w:val="00471B43"/>
    <w:rsid w:val="00473019"/>
    <w:rsid w:val="00473BCD"/>
    <w:rsid w:val="00474166"/>
    <w:rsid w:val="00474AC0"/>
    <w:rsid w:val="00475473"/>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1B0"/>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266D8"/>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C50"/>
    <w:rsid w:val="007823FB"/>
    <w:rsid w:val="00782DBE"/>
    <w:rsid w:val="0078338C"/>
    <w:rsid w:val="00783907"/>
    <w:rsid w:val="00783ACC"/>
    <w:rsid w:val="007946E2"/>
    <w:rsid w:val="00794752"/>
    <w:rsid w:val="0079580E"/>
    <w:rsid w:val="00797556"/>
    <w:rsid w:val="007A56A2"/>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40D97"/>
    <w:rsid w:val="00847145"/>
    <w:rsid w:val="00847167"/>
    <w:rsid w:val="0085416F"/>
    <w:rsid w:val="00854194"/>
    <w:rsid w:val="008562BE"/>
    <w:rsid w:val="0086190C"/>
    <w:rsid w:val="00864D10"/>
    <w:rsid w:val="00867822"/>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25498"/>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BCF"/>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4402"/>
    <w:rsid w:val="009A7685"/>
    <w:rsid w:val="009B5840"/>
    <w:rsid w:val="009B5A29"/>
    <w:rsid w:val="009B66A6"/>
    <w:rsid w:val="009B7185"/>
    <w:rsid w:val="009C71AC"/>
    <w:rsid w:val="009D108D"/>
    <w:rsid w:val="009D12AB"/>
    <w:rsid w:val="009D27F2"/>
    <w:rsid w:val="009D5262"/>
    <w:rsid w:val="009D753D"/>
    <w:rsid w:val="009E33AC"/>
    <w:rsid w:val="009E7450"/>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E07"/>
    <w:rsid w:val="00A42B92"/>
    <w:rsid w:val="00A439BC"/>
    <w:rsid w:val="00A43A10"/>
    <w:rsid w:val="00A47905"/>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A37EF"/>
    <w:rsid w:val="00AA67BE"/>
    <w:rsid w:val="00AB2F98"/>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94B4D"/>
    <w:rsid w:val="00B9536A"/>
    <w:rsid w:val="00BA07F2"/>
    <w:rsid w:val="00BA179D"/>
    <w:rsid w:val="00BA2FC6"/>
    <w:rsid w:val="00BA3898"/>
    <w:rsid w:val="00BA4FED"/>
    <w:rsid w:val="00BA6A3B"/>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3C34"/>
    <w:rsid w:val="00C2497C"/>
    <w:rsid w:val="00C24D3D"/>
    <w:rsid w:val="00C2500A"/>
    <w:rsid w:val="00C25573"/>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31DD"/>
    <w:rsid w:val="00DB3865"/>
    <w:rsid w:val="00DB554B"/>
    <w:rsid w:val="00DB6FDA"/>
    <w:rsid w:val="00DB74B2"/>
    <w:rsid w:val="00DC2015"/>
    <w:rsid w:val="00DC27B3"/>
    <w:rsid w:val="00DC55C8"/>
    <w:rsid w:val="00DC5B00"/>
    <w:rsid w:val="00DC5B2F"/>
    <w:rsid w:val="00DD0242"/>
    <w:rsid w:val="00DD0A29"/>
    <w:rsid w:val="00DD2420"/>
    <w:rsid w:val="00DD43E9"/>
    <w:rsid w:val="00DD537E"/>
    <w:rsid w:val="00DD5743"/>
    <w:rsid w:val="00DD62A2"/>
    <w:rsid w:val="00DE0A7E"/>
    <w:rsid w:val="00DE4EE0"/>
    <w:rsid w:val="00DE6277"/>
    <w:rsid w:val="00DF0604"/>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7021"/>
    <w:rsid w:val="00EA03EC"/>
    <w:rsid w:val="00EA0A3B"/>
    <w:rsid w:val="00EA2413"/>
    <w:rsid w:val="00EA26DB"/>
    <w:rsid w:val="00EA2B20"/>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styleId="af9">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E7"/>
    <w:rsid w:val="00007F3C"/>
    <w:rsid w:val="00011C2C"/>
    <w:rsid w:val="00014EBA"/>
    <w:rsid w:val="00015E6C"/>
    <w:rsid w:val="000213FA"/>
    <w:rsid w:val="000222BE"/>
    <w:rsid w:val="0004792A"/>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84B59"/>
    <w:rsid w:val="0019623E"/>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75645"/>
    <w:rsid w:val="00282F1B"/>
    <w:rsid w:val="00293554"/>
    <w:rsid w:val="002976A2"/>
    <w:rsid w:val="002A6AF5"/>
    <w:rsid w:val="002A710E"/>
    <w:rsid w:val="002B2072"/>
    <w:rsid w:val="002C1BAC"/>
    <w:rsid w:val="002C1E5F"/>
    <w:rsid w:val="00312643"/>
    <w:rsid w:val="0033631B"/>
    <w:rsid w:val="00346171"/>
    <w:rsid w:val="00357B6C"/>
    <w:rsid w:val="00364741"/>
    <w:rsid w:val="0037141E"/>
    <w:rsid w:val="00382ABE"/>
    <w:rsid w:val="00382BE4"/>
    <w:rsid w:val="003C6C37"/>
    <w:rsid w:val="003F2872"/>
    <w:rsid w:val="003F3BA4"/>
    <w:rsid w:val="0040417A"/>
    <w:rsid w:val="00425D52"/>
    <w:rsid w:val="00432BD4"/>
    <w:rsid w:val="00450A75"/>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03F04"/>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D9A9-F41D-485F-BC88-887FA62F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16010</Words>
  <Characters>91261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Фалин Алексей Иванович</cp:lastModifiedBy>
  <cp:revision>2</cp:revision>
  <cp:lastPrinted>2014-11-14T11:53:00Z</cp:lastPrinted>
  <dcterms:created xsi:type="dcterms:W3CDTF">2025-03-13T14:02:00Z</dcterms:created>
  <dcterms:modified xsi:type="dcterms:W3CDTF">2025-05-07T13:43:00Z</dcterms:modified>
</cp:coreProperties>
</file>