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D763C" w14:textId="537B7305" w:rsidR="00706614" w:rsidRDefault="001730AC" w:rsidP="0075656B">
      <w:pPr>
        <w:spacing w:after="0"/>
        <w:jc w:val="right"/>
        <w:rPr>
          <w:rFonts w:ascii="Times New Roman" w:hAnsi="Times New Roman"/>
          <w:sz w:val="16"/>
          <w:szCs w:val="16"/>
        </w:rPr>
      </w:pPr>
      <w:r w:rsidRPr="00346697">
        <w:rPr>
          <w:rFonts w:ascii="Times New Roman" w:hAnsi="Times New Roman"/>
          <w:sz w:val="16"/>
          <w:szCs w:val="16"/>
        </w:rPr>
        <w:t>Приложение № 1.</w:t>
      </w:r>
      <w:r>
        <w:rPr>
          <w:rFonts w:ascii="Times New Roman" w:hAnsi="Times New Roman"/>
          <w:sz w:val="16"/>
          <w:szCs w:val="16"/>
        </w:rPr>
        <w:t>1</w:t>
      </w:r>
      <w:r w:rsidRPr="00346697">
        <w:rPr>
          <w:rFonts w:ascii="Times New Roman" w:hAnsi="Times New Roman"/>
          <w:sz w:val="16"/>
          <w:szCs w:val="16"/>
        </w:rPr>
        <w:t xml:space="preserve"> к Условиям</w:t>
      </w:r>
    </w:p>
    <w:p w14:paraId="41F8587D" w14:textId="6F678CCC" w:rsidR="001730AC" w:rsidRDefault="001730AC" w:rsidP="0075656B">
      <w:pPr>
        <w:spacing w:after="0"/>
        <w:jc w:val="right"/>
        <w:rPr>
          <w:rFonts w:ascii="Times New Roman" w:hAnsi="Times New Roman"/>
          <w:sz w:val="16"/>
          <w:szCs w:val="16"/>
        </w:rPr>
      </w:pPr>
    </w:p>
    <w:p w14:paraId="729162B2" w14:textId="77777777" w:rsidR="001730AC" w:rsidRPr="0075656B" w:rsidRDefault="001730AC" w:rsidP="0075656B">
      <w:pPr>
        <w:spacing w:after="0"/>
        <w:jc w:val="right"/>
        <w:rPr>
          <w:rFonts w:ascii="Times New Roman" w:hAnsi="Times New Roman"/>
          <w:sz w:val="16"/>
          <w:szCs w:val="16"/>
        </w:rPr>
      </w:pPr>
      <w:bookmarkStart w:id="0" w:name="_GoBack"/>
      <w:bookmarkEnd w:id="0"/>
    </w:p>
    <w:p w14:paraId="0565B74C" w14:textId="77777777" w:rsidR="007F7D1F" w:rsidRPr="0075656B" w:rsidRDefault="007F7D1F" w:rsidP="007F7D1F">
      <w:pPr>
        <w:spacing w:after="0"/>
        <w:jc w:val="right"/>
        <w:rPr>
          <w:rFonts w:ascii="Times New Roman" w:hAnsi="Times New Roman"/>
          <w:b/>
        </w:rPr>
      </w:pPr>
    </w:p>
    <w:tbl>
      <w:tblPr>
        <w:tblpPr w:leftFromText="180" w:rightFromText="180" w:vertAnchor="page" w:horzAnchor="margin" w:tblpY="1835"/>
        <w:tblW w:w="5000" w:type="pct"/>
        <w:tblLook w:val="04A0" w:firstRow="1" w:lastRow="0" w:firstColumn="1" w:lastColumn="0" w:noHBand="0" w:noVBand="1"/>
      </w:tblPr>
      <w:tblGrid>
        <w:gridCol w:w="3400"/>
        <w:gridCol w:w="2270"/>
        <w:gridCol w:w="3681"/>
      </w:tblGrid>
      <w:tr w:rsidR="000B6B66" w:rsidRPr="00D27A8F" w14:paraId="25F1E7FC" w14:textId="77777777" w:rsidTr="00AB2F98">
        <w:trPr>
          <w:trHeight w:val="843"/>
        </w:trPr>
        <w:tc>
          <w:tcPr>
            <w:tcW w:w="1818" w:type="pct"/>
            <w:vMerge w:val="restart"/>
            <w:tcBorders>
              <w:right w:val="single" w:sz="4" w:space="0" w:color="auto"/>
            </w:tcBorders>
          </w:tcPr>
          <w:p w14:paraId="2A35A2A5" w14:textId="2C83A7BE" w:rsidR="000B6B66" w:rsidRPr="0075656B" w:rsidRDefault="000B6B66" w:rsidP="00711CE7">
            <w:pPr>
              <w:spacing w:after="0" w:line="240" w:lineRule="auto"/>
              <w:jc w:val="center"/>
              <w:rPr>
                <w:rFonts w:ascii="Times New Roman" w:hAnsi="Times New Roman"/>
                <w:b/>
                <w:sz w:val="20"/>
                <w:szCs w:val="20"/>
              </w:rPr>
            </w:pPr>
          </w:p>
        </w:tc>
        <w:tc>
          <w:tcPr>
            <w:tcW w:w="3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D6B15" w14:textId="77777777" w:rsidR="000B6B66" w:rsidRPr="0075656B" w:rsidRDefault="000B6B66" w:rsidP="00711CE7">
            <w:pPr>
              <w:spacing w:after="0" w:line="240" w:lineRule="auto"/>
              <w:jc w:val="center"/>
              <w:rPr>
                <w:rFonts w:ascii="Times New Roman" w:hAnsi="Times New Roman"/>
                <w:b/>
                <w:sz w:val="20"/>
                <w:szCs w:val="20"/>
              </w:rPr>
            </w:pPr>
            <w:r w:rsidRPr="0075656B">
              <w:rPr>
                <w:rFonts w:ascii="Times New Roman" w:hAnsi="Times New Roman"/>
                <w:b/>
                <w:sz w:val="20"/>
                <w:szCs w:val="20"/>
              </w:rPr>
              <w:t>Заявление о присоединении к Договору</w:t>
            </w:r>
          </w:p>
        </w:tc>
      </w:tr>
      <w:tr w:rsidR="000B6B66" w:rsidRPr="00D27A8F" w14:paraId="29781DB2" w14:textId="77777777" w:rsidTr="00AB2F98">
        <w:trPr>
          <w:trHeight w:val="423"/>
        </w:trPr>
        <w:tc>
          <w:tcPr>
            <w:tcW w:w="1818" w:type="pct"/>
            <w:vMerge/>
            <w:tcBorders>
              <w:right w:val="single" w:sz="4" w:space="0" w:color="auto"/>
            </w:tcBorders>
          </w:tcPr>
          <w:p w14:paraId="4C5D82D7" w14:textId="77777777" w:rsidR="000B6B66" w:rsidRPr="0075656B" w:rsidRDefault="000B6B66" w:rsidP="00711CE7">
            <w:pPr>
              <w:spacing w:after="0" w:line="240" w:lineRule="auto"/>
              <w:jc w:val="center"/>
              <w:rPr>
                <w:rFonts w:ascii="Times New Roman" w:hAnsi="Times New Roman"/>
                <w:noProof/>
                <w:sz w:val="16"/>
                <w:szCs w:val="16"/>
                <w:lang w:eastAsia="ru-RU"/>
              </w:rPr>
            </w:pPr>
          </w:p>
        </w:tc>
        <w:tc>
          <w:tcPr>
            <w:tcW w:w="3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715935" w14:textId="561D41A2" w:rsidR="000B6B66" w:rsidRPr="0075656B" w:rsidRDefault="000B6B66" w:rsidP="0075656B">
            <w:pPr>
              <w:spacing w:after="0" w:line="240" w:lineRule="auto"/>
              <w:jc w:val="right"/>
              <w:rPr>
                <w:rFonts w:ascii="Times New Roman" w:hAnsi="Times New Roman"/>
                <w:b/>
                <w:sz w:val="20"/>
                <w:szCs w:val="20"/>
              </w:rPr>
            </w:pPr>
            <w:r w:rsidRPr="0075656B">
              <w:rPr>
                <w:rFonts w:ascii="Times New Roman" w:hAnsi="Times New Roman"/>
                <w:sz w:val="16"/>
                <w:szCs w:val="16"/>
              </w:rPr>
              <w:t xml:space="preserve">в </w:t>
            </w:r>
            <w:r w:rsidR="006B136A">
              <w:rPr>
                <w:rFonts w:ascii="Times New Roman" w:hAnsi="Times New Roman"/>
                <w:sz w:val="16"/>
                <w:szCs w:val="16"/>
              </w:rPr>
              <w:t>Акционерное общество «Инвестиционная компания «Горизонт»</w:t>
            </w:r>
          </w:p>
        </w:tc>
      </w:tr>
      <w:tr w:rsidR="000B6B66" w:rsidRPr="00D27A8F" w14:paraId="4B354C1F" w14:textId="77777777" w:rsidTr="00AB2F98">
        <w:trPr>
          <w:trHeight w:val="418"/>
        </w:trPr>
        <w:tc>
          <w:tcPr>
            <w:tcW w:w="1818" w:type="pct"/>
            <w:vMerge/>
            <w:tcBorders>
              <w:right w:val="single" w:sz="4" w:space="0" w:color="auto"/>
            </w:tcBorders>
          </w:tcPr>
          <w:p w14:paraId="00180E89" w14:textId="77777777" w:rsidR="000B6B66" w:rsidRPr="0075656B" w:rsidRDefault="000B6B66" w:rsidP="00711CE7">
            <w:pPr>
              <w:spacing w:after="0" w:line="240" w:lineRule="auto"/>
              <w:rPr>
                <w:rFonts w:ascii="Times New Roman" w:hAnsi="Times New Roman"/>
                <w:b/>
                <w:sz w:val="16"/>
                <w:szCs w:val="16"/>
              </w:rPr>
            </w:pPr>
          </w:p>
        </w:tc>
        <w:tc>
          <w:tcPr>
            <w:tcW w:w="1214" w:type="pct"/>
            <w:tcBorders>
              <w:top w:val="single" w:sz="4" w:space="0" w:color="auto"/>
              <w:left w:val="single" w:sz="4" w:space="0" w:color="auto"/>
              <w:bottom w:val="single" w:sz="4" w:space="0" w:color="auto"/>
              <w:right w:val="single" w:sz="4" w:space="0" w:color="auto"/>
            </w:tcBorders>
            <w:shd w:val="clear" w:color="auto" w:fill="auto"/>
            <w:vAlign w:val="center"/>
          </w:tcPr>
          <w:p w14:paraId="35F23B38" w14:textId="77777777" w:rsidR="000B6B66" w:rsidRPr="0075656B" w:rsidRDefault="000B6B66" w:rsidP="00711CE7">
            <w:pPr>
              <w:spacing w:after="0" w:line="240" w:lineRule="auto"/>
              <w:rPr>
                <w:rFonts w:ascii="Times New Roman" w:hAnsi="Times New Roman"/>
                <w:b/>
                <w:sz w:val="16"/>
                <w:szCs w:val="16"/>
              </w:rPr>
            </w:pPr>
            <w:r w:rsidRPr="0075656B">
              <w:rPr>
                <w:rFonts w:ascii="Times New Roman" w:hAnsi="Times New Roman"/>
                <w:b/>
                <w:sz w:val="16"/>
                <w:szCs w:val="16"/>
              </w:rPr>
              <w:t>ФИО / Полное наименование Клиента</w:t>
            </w:r>
            <w:r w:rsidR="00501132" w:rsidRPr="0075656B">
              <w:rPr>
                <w:rFonts w:ascii="Times New Roman" w:hAnsi="Times New Roman"/>
                <w:b/>
                <w:sz w:val="16"/>
                <w:szCs w:val="16"/>
              </w:rPr>
              <w:t xml:space="preserve"> (Депонента)</w:t>
            </w:r>
            <w:r w:rsidRPr="0075656B">
              <w:rPr>
                <w:rStyle w:val="a3"/>
                <w:rFonts w:ascii="Times New Roman" w:hAnsi="Times New Roman"/>
                <w:b/>
                <w:color w:val="000000"/>
                <w:sz w:val="16"/>
                <w:szCs w:val="16"/>
              </w:rPr>
              <w:t xml:space="preserve"> </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center"/>
          </w:tcPr>
          <w:p w14:paraId="28D69595" w14:textId="77777777" w:rsidR="000B6B66" w:rsidRPr="0075656B" w:rsidRDefault="000B6B66" w:rsidP="00711CE7">
            <w:pPr>
              <w:spacing w:after="0" w:line="240" w:lineRule="auto"/>
              <w:rPr>
                <w:rFonts w:ascii="Times New Roman" w:hAnsi="Times New Roman"/>
                <w:sz w:val="16"/>
                <w:szCs w:val="16"/>
              </w:rPr>
            </w:pPr>
          </w:p>
        </w:tc>
      </w:tr>
      <w:tr w:rsidR="000B6B66" w:rsidRPr="00D27A8F" w14:paraId="18BF9726" w14:textId="77777777" w:rsidTr="00AB2F98">
        <w:trPr>
          <w:trHeight w:val="418"/>
        </w:trPr>
        <w:tc>
          <w:tcPr>
            <w:tcW w:w="1818" w:type="pct"/>
            <w:vMerge/>
            <w:tcBorders>
              <w:right w:val="single" w:sz="4" w:space="0" w:color="auto"/>
            </w:tcBorders>
          </w:tcPr>
          <w:p w14:paraId="56B616AE" w14:textId="77777777" w:rsidR="000B6B66" w:rsidRPr="0075656B" w:rsidRDefault="000B6B66" w:rsidP="00711CE7">
            <w:pPr>
              <w:spacing w:after="0" w:line="240" w:lineRule="auto"/>
              <w:jc w:val="right"/>
              <w:rPr>
                <w:rFonts w:ascii="Times New Roman" w:eastAsia="MS Gothic" w:hAnsi="Times New Roman"/>
                <w:sz w:val="16"/>
                <w:szCs w:val="16"/>
              </w:rPr>
            </w:pPr>
          </w:p>
        </w:tc>
        <w:tc>
          <w:tcPr>
            <w:tcW w:w="3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90EDC0" w14:textId="77777777" w:rsidR="000B6B66" w:rsidRPr="0075656B" w:rsidRDefault="00802E57" w:rsidP="00711CE7">
            <w:pPr>
              <w:spacing w:after="0" w:line="240" w:lineRule="auto"/>
              <w:jc w:val="right"/>
              <w:rPr>
                <w:rFonts w:ascii="Times New Roman" w:hAnsi="Times New Roman"/>
                <w:sz w:val="16"/>
                <w:szCs w:val="16"/>
              </w:rPr>
            </w:pPr>
            <w:sdt>
              <w:sdtPr>
                <w:rPr>
                  <w:rFonts w:ascii="Times New Roman" w:eastAsia="MS Gothic" w:hAnsi="Times New Roman"/>
                  <w:sz w:val="20"/>
                  <w:szCs w:val="20"/>
                </w:rPr>
                <w:id w:val="-299076860"/>
                <w14:checkbox>
                  <w14:checked w14:val="0"/>
                  <w14:checkedState w14:val="2612" w14:font="MS Gothic"/>
                  <w14:uncheckedState w14:val="2610" w14:font="MS Gothic"/>
                </w14:checkbox>
              </w:sdtPr>
              <w:sdtEndPr/>
              <w:sdtContent>
                <w:r w:rsidR="00F167BA" w:rsidRPr="0075656B">
                  <w:rPr>
                    <w:rFonts w:ascii="Segoe UI Symbol" w:eastAsia="MS Gothic" w:hAnsi="Segoe UI Symbol" w:cs="Segoe UI Symbol"/>
                    <w:sz w:val="20"/>
                    <w:szCs w:val="20"/>
                  </w:rPr>
                  <w:t>☐</w:t>
                </w:r>
              </w:sdtContent>
            </w:sdt>
            <w:r w:rsidR="00F167BA" w:rsidRPr="0075656B" w:rsidDel="00F167BA">
              <w:rPr>
                <w:rFonts w:ascii="Times New Roman" w:eastAsia="MS Gothic" w:hAnsi="Times New Roman"/>
                <w:sz w:val="16"/>
                <w:szCs w:val="16"/>
              </w:rPr>
              <w:t xml:space="preserve"> </w:t>
            </w:r>
            <w:r w:rsidR="000B6B66" w:rsidRPr="0075656B">
              <w:rPr>
                <w:rFonts w:ascii="Times New Roman" w:hAnsi="Times New Roman"/>
                <w:sz w:val="16"/>
                <w:szCs w:val="16"/>
              </w:rPr>
              <w:t>Действую в качестве доверительного управляющего</w:t>
            </w:r>
          </w:p>
          <w:p w14:paraId="2CFD9EBE" w14:textId="77777777" w:rsidR="000B6B66" w:rsidRPr="0075656B" w:rsidRDefault="000B6B66" w:rsidP="00711CE7">
            <w:pPr>
              <w:spacing w:after="0" w:line="240" w:lineRule="auto"/>
              <w:jc w:val="right"/>
              <w:rPr>
                <w:rFonts w:ascii="Times New Roman" w:hAnsi="Times New Roman"/>
                <w:sz w:val="16"/>
                <w:szCs w:val="16"/>
              </w:rPr>
            </w:pPr>
            <w:r w:rsidRPr="0075656B">
              <w:rPr>
                <w:rFonts w:ascii="Times New Roman" w:hAnsi="Times New Roman"/>
                <w:sz w:val="16"/>
                <w:szCs w:val="16"/>
              </w:rPr>
              <w:t xml:space="preserve">Наименование имущества – объекта доверительного управления </w:t>
            </w:r>
            <w:r w:rsidRPr="0075656B">
              <w:rPr>
                <w:rStyle w:val="a3"/>
                <w:rFonts w:ascii="Times New Roman" w:hAnsi="Times New Roman"/>
                <w:b/>
                <w:color w:val="000000"/>
                <w:sz w:val="16"/>
                <w:szCs w:val="16"/>
              </w:rPr>
              <w:fldChar w:fldCharType="begin">
                <w:ffData>
                  <w:name w:val="ТекстовоеПоле1"/>
                  <w:enabled/>
                  <w:calcOnExit w:val="0"/>
                  <w:textInput/>
                </w:ffData>
              </w:fldChar>
            </w:r>
            <w:r w:rsidRPr="0075656B">
              <w:rPr>
                <w:rStyle w:val="a3"/>
                <w:rFonts w:ascii="Times New Roman" w:hAnsi="Times New Roman"/>
                <w:b/>
                <w:color w:val="000000"/>
                <w:sz w:val="16"/>
                <w:szCs w:val="16"/>
              </w:rPr>
              <w:instrText xml:space="preserve"> FORMTEXT </w:instrText>
            </w:r>
            <w:r w:rsidRPr="0075656B">
              <w:rPr>
                <w:rStyle w:val="a3"/>
                <w:rFonts w:ascii="Times New Roman" w:hAnsi="Times New Roman"/>
                <w:b/>
                <w:color w:val="000000"/>
                <w:sz w:val="16"/>
                <w:szCs w:val="16"/>
              </w:rPr>
            </w:r>
            <w:r w:rsidRPr="0075656B">
              <w:rPr>
                <w:rStyle w:val="a3"/>
                <w:rFonts w:ascii="Times New Roman" w:hAnsi="Times New Roman"/>
                <w:b/>
                <w:color w:val="000000"/>
                <w:sz w:val="16"/>
                <w:szCs w:val="16"/>
              </w:rPr>
              <w:fldChar w:fldCharType="separate"/>
            </w:r>
            <w:r w:rsidRPr="0075656B">
              <w:rPr>
                <w:rStyle w:val="a3"/>
                <w:rFonts w:ascii="Times New Roman" w:hAnsi="Times New Roman"/>
                <w:b/>
                <w:noProof/>
                <w:color w:val="000000"/>
                <w:sz w:val="16"/>
                <w:szCs w:val="16"/>
              </w:rPr>
              <w:t> </w:t>
            </w:r>
            <w:r w:rsidRPr="0075656B">
              <w:rPr>
                <w:rStyle w:val="a3"/>
                <w:rFonts w:ascii="Times New Roman" w:hAnsi="Times New Roman"/>
                <w:b/>
                <w:noProof/>
                <w:color w:val="000000"/>
                <w:sz w:val="16"/>
                <w:szCs w:val="16"/>
              </w:rPr>
              <w:t> </w:t>
            </w:r>
            <w:r w:rsidRPr="0075656B">
              <w:rPr>
                <w:rStyle w:val="a3"/>
                <w:rFonts w:ascii="Times New Roman" w:hAnsi="Times New Roman"/>
                <w:b/>
                <w:noProof/>
                <w:color w:val="000000"/>
                <w:sz w:val="16"/>
                <w:szCs w:val="16"/>
              </w:rPr>
              <w:t> </w:t>
            </w:r>
            <w:r w:rsidRPr="0075656B">
              <w:rPr>
                <w:rStyle w:val="a3"/>
                <w:rFonts w:ascii="Times New Roman" w:hAnsi="Times New Roman"/>
                <w:b/>
                <w:noProof/>
                <w:color w:val="000000"/>
                <w:sz w:val="16"/>
                <w:szCs w:val="16"/>
              </w:rPr>
              <w:t> </w:t>
            </w:r>
            <w:r w:rsidRPr="0075656B">
              <w:rPr>
                <w:rStyle w:val="a3"/>
                <w:rFonts w:ascii="Times New Roman" w:hAnsi="Times New Roman"/>
                <w:b/>
                <w:noProof/>
                <w:color w:val="000000"/>
                <w:sz w:val="16"/>
                <w:szCs w:val="16"/>
              </w:rPr>
              <w:t> </w:t>
            </w:r>
            <w:r w:rsidRPr="0075656B">
              <w:rPr>
                <w:rStyle w:val="a3"/>
                <w:rFonts w:ascii="Times New Roman" w:hAnsi="Times New Roman"/>
                <w:b/>
                <w:color w:val="000000"/>
                <w:sz w:val="16"/>
                <w:szCs w:val="16"/>
              </w:rPr>
              <w:fldChar w:fldCharType="end"/>
            </w:r>
          </w:p>
        </w:tc>
      </w:tr>
      <w:tr w:rsidR="002E431B" w:rsidRPr="00D27A8F" w14:paraId="13A09214" w14:textId="77777777" w:rsidTr="00AB2F98">
        <w:trPr>
          <w:trHeight w:val="505"/>
        </w:trPr>
        <w:tc>
          <w:tcPr>
            <w:tcW w:w="1818" w:type="pct"/>
            <w:vMerge/>
            <w:tcBorders>
              <w:right w:val="single" w:sz="4" w:space="0" w:color="auto"/>
            </w:tcBorders>
          </w:tcPr>
          <w:p w14:paraId="09164228" w14:textId="77777777" w:rsidR="002E431B" w:rsidRPr="0075656B" w:rsidRDefault="002E431B" w:rsidP="00711CE7">
            <w:pPr>
              <w:spacing w:after="0" w:line="240" w:lineRule="auto"/>
              <w:rPr>
                <w:rFonts w:ascii="Times New Roman" w:hAnsi="Times New Roman"/>
                <w:b/>
                <w:sz w:val="16"/>
                <w:szCs w:val="16"/>
              </w:rPr>
            </w:pPr>
          </w:p>
        </w:tc>
        <w:tc>
          <w:tcPr>
            <w:tcW w:w="1214" w:type="pct"/>
            <w:tcBorders>
              <w:top w:val="single" w:sz="4" w:space="0" w:color="auto"/>
              <w:left w:val="single" w:sz="4" w:space="0" w:color="auto"/>
              <w:bottom w:val="single" w:sz="4" w:space="0" w:color="auto"/>
              <w:right w:val="single" w:sz="4" w:space="0" w:color="auto"/>
            </w:tcBorders>
            <w:shd w:val="clear" w:color="auto" w:fill="auto"/>
            <w:vAlign w:val="center"/>
          </w:tcPr>
          <w:p w14:paraId="35F4B899" w14:textId="77777777" w:rsidR="002E431B" w:rsidRPr="0075656B" w:rsidRDefault="002E431B" w:rsidP="00711CE7">
            <w:pPr>
              <w:spacing w:after="0" w:line="240" w:lineRule="auto"/>
              <w:rPr>
                <w:rFonts w:ascii="Times New Roman" w:hAnsi="Times New Roman"/>
                <w:b/>
                <w:sz w:val="16"/>
                <w:szCs w:val="16"/>
              </w:rPr>
            </w:pPr>
            <w:r w:rsidRPr="0075656B">
              <w:rPr>
                <w:rFonts w:ascii="Times New Roman" w:hAnsi="Times New Roman"/>
                <w:b/>
                <w:sz w:val="16"/>
                <w:szCs w:val="16"/>
              </w:rPr>
              <w:t>Дата Заявления</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center"/>
          </w:tcPr>
          <w:p w14:paraId="085A84AD" w14:textId="77777777" w:rsidR="002E431B" w:rsidRPr="0075656B" w:rsidRDefault="002E431B" w:rsidP="00711CE7">
            <w:pPr>
              <w:spacing w:after="0" w:line="240" w:lineRule="auto"/>
              <w:rPr>
                <w:rFonts w:ascii="Times New Roman" w:hAnsi="Times New Roman"/>
                <w:sz w:val="16"/>
                <w:szCs w:val="16"/>
              </w:rPr>
            </w:pPr>
          </w:p>
        </w:tc>
      </w:tr>
    </w:tbl>
    <w:p w14:paraId="1210C9B5" w14:textId="561F53EF" w:rsidR="008B3B1B" w:rsidRPr="0075656B" w:rsidRDefault="004C3A99" w:rsidP="00E11D62">
      <w:pPr>
        <w:pStyle w:val="a4"/>
        <w:numPr>
          <w:ilvl w:val="0"/>
          <w:numId w:val="10"/>
        </w:numPr>
        <w:tabs>
          <w:tab w:val="left" w:pos="1134"/>
        </w:tabs>
        <w:spacing w:after="120" w:line="240" w:lineRule="auto"/>
        <w:ind w:left="567" w:hanging="567"/>
        <w:contextualSpacing w:val="0"/>
        <w:jc w:val="both"/>
        <w:rPr>
          <w:rFonts w:ascii="Times New Roman" w:hAnsi="Times New Roman"/>
          <w:sz w:val="16"/>
          <w:szCs w:val="16"/>
        </w:rPr>
      </w:pPr>
      <w:r w:rsidRPr="0075656B">
        <w:rPr>
          <w:rFonts w:ascii="Times New Roman" w:hAnsi="Times New Roman"/>
          <w:sz w:val="16"/>
          <w:szCs w:val="16"/>
        </w:rPr>
        <w:t xml:space="preserve">Настоящее Заявление о присоединении к Договору является </w:t>
      </w:r>
      <w:r w:rsidR="006035B2" w:rsidRPr="0075656B">
        <w:rPr>
          <w:rFonts w:ascii="Times New Roman" w:hAnsi="Times New Roman"/>
          <w:sz w:val="16"/>
          <w:szCs w:val="16"/>
        </w:rPr>
        <w:t xml:space="preserve">предложением </w:t>
      </w:r>
      <w:r w:rsidRPr="0075656B">
        <w:rPr>
          <w:rFonts w:ascii="Times New Roman" w:hAnsi="Times New Roman"/>
          <w:sz w:val="16"/>
          <w:szCs w:val="16"/>
        </w:rPr>
        <w:t xml:space="preserve">лица, </w:t>
      </w:r>
      <w:r w:rsidR="00DB23EC" w:rsidRPr="0075656B">
        <w:rPr>
          <w:rFonts w:ascii="Times New Roman" w:hAnsi="Times New Roman"/>
          <w:sz w:val="16"/>
          <w:szCs w:val="16"/>
        </w:rPr>
        <w:t>наименование или имя которого указано</w:t>
      </w:r>
      <w:r w:rsidRPr="0075656B">
        <w:rPr>
          <w:rFonts w:ascii="Times New Roman" w:hAnsi="Times New Roman"/>
          <w:sz w:val="16"/>
          <w:szCs w:val="16"/>
        </w:rPr>
        <w:t xml:space="preserve"> выше, </w:t>
      </w:r>
      <w:r w:rsidR="0002435E" w:rsidRPr="0075656B">
        <w:rPr>
          <w:rFonts w:ascii="Times New Roman" w:hAnsi="Times New Roman"/>
          <w:sz w:val="16"/>
          <w:szCs w:val="16"/>
        </w:rPr>
        <w:t>адресованным</w:t>
      </w:r>
      <w:r w:rsidR="00DB23EC" w:rsidRPr="0075656B">
        <w:rPr>
          <w:rFonts w:ascii="Times New Roman" w:hAnsi="Times New Roman"/>
          <w:sz w:val="16"/>
          <w:szCs w:val="16"/>
        </w:rPr>
        <w:t xml:space="preserve"> </w:t>
      </w:r>
      <w:r w:rsidR="006B136A">
        <w:rPr>
          <w:rFonts w:ascii="Times New Roman" w:hAnsi="Times New Roman"/>
          <w:sz w:val="16"/>
          <w:szCs w:val="16"/>
        </w:rPr>
        <w:t>Акционерному обществу «Инвестиционная компания «Горизонт»</w:t>
      </w:r>
      <w:r w:rsidR="006B136A" w:rsidRPr="0075656B" w:rsidDel="006B136A">
        <w:rPr>
          <w:rFonts w:ascii="Times New Roman" w:hAnsi="Times New Roman"/>
          <w:sz w:val="16"/>
          <w:szCs w:val="16"/>
        </w:rPr>
        <w:t xml:space="preserve"> </w:t>
      </w:r>
      <w:r w:rsidRPr="0075656B">
        <w:rPr>
          <w:rFonts w:ascii="Times New Roman" w:hAnsi="Times New Roman"/>
          <w:sz w:val="16"/>
          <w:szCs w:val="16"/>
        </w:rPr>
        <w:t xml:space="preserve">(ОГРН </w:t>
      </w:r>
      <w:r w:rsidR="00C23C34" w:rsidRPr="00C23C34">
        <w:rPr>
          <w:rFonts w:ascii="Times New Roman" w:hAnsi="Times New Roman"/>
          <w:sz w:val="16"/>
          <w:szCs w:val="16"/>
        </w:rPr>
        <w:t>1247700651307</w:t>
      </w:r>
      <w:r w:rsidR="00DB23EC" w:rsidRPr="0075656B">
        <w:rPr>
          <w:rFonts w:ascii="Times New Roman" w:hAnsi="Times New Roman"/>
          <w:sz w:val="16"/>
          <w:szCs w:val="16"/>
        </w:rPr>
        <w:t xml:space="preserve">, </w:t>
      </w:r>
      <w:r w:rsidR="00DD0A29" w:rsidRPr="0075656B">
        <w:rPr>
          <w:rFonts w:ascii="Times New Roman" w:hAnsi="Times New Roman"/>
          <w:sz w:val="16"/>
          <w:szCs w:val="16"/>
        </w:rPr>
        <w:t>юридически</w:t>
      </w:r>
      <w:r w:rsidR="00261522" w:rsidRPr="0075656B">
        <w:rPr>
          <w:rFonts w:ascii="Times New Roman" w:hAnsi="Times New Roman"/>
          <w:sz w:val="16"/>
          <w:szCs w:val="16"/>
        </w:rPr>
        <w:t>й</w:t>
      </w:r>
      <w:r w:rsidR="00DD0A29" w:rsidRPr="0075656B">
        <w:rPr>
          <w:rFonts w:ascii="Times New Roman" w:hAnsi="Times New Roman"/>
          <w:sz w:val="16"/>
          <w:szCs w:val="16"/>
        </w:rPr>
        <w:t xml:space="preserve"> адрес: </w:t>
      </w:r>
      <w:r w:rsidR="004F13E1" w:rsidRPr="004F13E1">
        <w:rPr>
          <w:rFonts w:ascii="Times New Roman" w:hAnsi="Times New Roman"/>
          <w:sz w:val="16"/>
          <w:szCs w:val="16"/>
        </w:rPr>
        <w:t xml:space="preserve">123112, г. Москва, </w:t>
      </w:r>
      <w:proofErr w:type="spellStart"/>
      <w:proofErr w:type="gramStart"/>
      <w:r w:rsidR="004F13E1" w:rsidRPr="004F13E1">
        <w:rPr>
          <w:rFonts w:ascii="Times New Roman" w:hAnsi="Times New Roman"/>
          <w:sz w:val="16"/>
          <w:szCs w:val="16"/>
        </w:rPr>
        <w:t>вн.тер</w:t>
      </w:r>
      <w:proofErr w:type="gramEnd"/>
      <w:r w:rsidR="004F13E1" w:rsidRPr="004F13E1">
        <w:rPr>
          <w:rFonts w:ascii="Times New Roman" w:hAnsi="Times New Roman"/>
          <w:sz w:val="16"/>
          <w:szCs w:val="16"/>
        </w:rPr>
        <w:t>.г.муниципальный</w:t>
      </w:r>
      <w:proofErr w:type="spellEnd"/>
      <w:r w:rsidR="004F13E1" w:rsidRPr="004F13E1">
        <w:rPr>
          <w:rFonts w:ascii="Times New Roman" w:hAnsi="Times New Roman"/>
          <w:sz w:val="16"/>
          <w:szCs w:val="16"/>
        </w:rPr>
        <w:t xml:space="preserve"> округ Пресненский, наб.</w:t>
      </w:r>
      <w:r w:rsidR="00890CF6">
        <w:rPr>
          <w:rFonts w:ascii="Times New Roman" w:hAnsi="Times New Roman"/>
          <w:sz w:val="16"/>
          <w:szCs w:val="16"/>
        </w:rPr>
        <w:t xml:space="preserve"> </w:t>
      </w:r>
      <w:r w:rsidR="004F13E1" w:rsidRPr="004F13E1">
        <w:rPr>
          <w:rFonts w:ascii="Times New Roman" w:hAnsi="Times New Roman"/>
          <w:sz w:val="16"/>
          <w:szCs w:val="16"/>
        </w:rPr>
        <w:t xml:space="preserve">Пресненская, д. 6, стр. 2, этаж 52, </w:t>
      </w:r>
      <w:proofErr w:type="spellStart"/>
      <w:r w:rsidR="004F13E1" w:rsidRPr="004F13E1">
        <w:rPr>
          <w:rFonts w:ascii="Times New Roman" w:hAnsi="Times New Roman"/>
          <w:sz w:val="16"/>
          <w:szCs w:val="16"/>
        </w:rPr>
        <w:t>помещ</w:t>
      </w:r>
      <w:proofErr w:type="spellEnd"/>
      <w:r w:rsidR="004F13E1" w:rsidRPr="004F13E1">
        <w:rPr>
          <w:rFonts w:ascii="Times New Roman" w:hAnsi="Times New Roman"/>
          <w:sz w:val="16"/>
          <w:szCs w:val="16"/>
        </w:rPr>
        <w:t>. 5209</w:t>
      </w:r>
      <w:r w:rsidRPr="0075656B">
        <w:rPr>
          <w:rFonts w:ascii="Times New Roman" w:hAnsi="Times New Roman"/>
          <w:sz w:val="16"/>
          <w:szCs w:val="16"/>
        </w:rPr>
        <w:t>)</w:t>
      </w:r>
      <w:r w:rsidR="0002435E" w:rsidRPr="0075656B">
        <w:rPr>
          <w:rFonts w:ascii="Times New Roman" w:hAnsi="Times New Roman"/>
          <w:sz w:val="16"/>
          <w:szCs w:val="16"/>
        </w:rPr>
        <w:t>, о заключении д</w:t>
      </w:r>
      <w:r w:rsidRPr="0075656B">
        <w:rPr>
          <w:rFonts w:ascii="Times New Roman" w:hAnsi="Times New Roman"/>
          <w:sz w:val="16"/>
          <w:szCs w:val="16"/>
        </w:rPr>
        <w:t xml:space="preserve">оговоров, </w:t>
      </w:r>
      <w:r w:rsidR="002B561A" w:rsidRPr="0075656B">
        <w:rPr>
          <w:rFonts w:ascii="Times New Roman" w:hAnsi="Times New Roman"/>
          <w:sz w:val="16"/>
          <w:szCs w:val="16"/>
        </w:rPr>
        <w:t>отметка о присоединении к условиям которых содержится</w:t>
      </w:r>
      <w:r w:rsidRPr="0075656B">
        <w:rPr>
          <w:rFonts w:ascii="Times New Roman" w:hAnsi="Times New Roman"/>
          <w:sz w:val="16"/>
          <w:szCs w:val="16"/>
        </w:rPr>
        <w:t xml:space="preserve"> в </w:t>
      </w:r>
      <w:r w:rsidR="00DB23EC" w:rsidRPr="0075656B">
        <w:rPr>
          <w:rFonts w:ascii="Times New Roman" w:hAnsi="Times New Roman"/>
          <w:sz w:val="16"/>
          <w:szCs w:val="16"/>
        </w:rPr>
        <w:t>настоящем заявлении</w:t>
      </w:r>
      <w:r w:rsidR="00EF1376" w:rsidRPr="0075656B">
        <w:rPr>
          <w:rFonts w:ascii="Times New Roman" w:hAnsi="Times New Roman"/>
          <w:sz w:val="16"/>
          <w:szCs w:val="16"/>
        </w:rPr>
        <w:t>,</w:t>
      </w:r>
      <w:r w:rsidRPr="0075656B">
        <w:rPr>
          <w:rFonts w:ascii="Times New Roman" w:hAnsi="Times New Roman"/>
          <w:sz w:val="16"/>
          <w:szCs w:val="16"/>
        </w:rPr>
        <w:t xml:space="preserve"> на у</w:t>
      </w:r>
      <w:r w:rsidR="008B3B1B" w:rsidRPr="0075656B">
        <w:rPr>
          <w:rFonts w:ascii="Times New Roman" w:hAnsi="Times New Roman"/>
          <w:sz w:val="16"/>
          <w:szCs w:val="16"/>
        </w:rPr>
        <w:t>словиях</w:t>
      </w:r>
      <w:r w:rsidR="00DB23EC" w:rsidRPr="0075656B">
        <w:rPr>
          <w:rFonts w:ascii="Times New Roman" w:hAnsi="Times New Roman"/>
          <w:sz w:val="16"/>
          <w:szCs w:val="16"/>
        </w:rPr>
        <w:t>,</w:t>
      </w:r>
      <w:r w:rsidR="008B3B1B" w:rsidRPr="0075656B">
        <w:rPr>
          <w:rFonts w:ascii="Times New Roman" w:hAnsi="Times New Roman"/>
          <w:sz w:val="16"/>
          <w:szCs w:val="16"/>
        </w:rPr>
        <w:t xml:space="preserve"> определяемых настоящим заявлением и соответствующими регламентами.</w:t>
      </w:r>
    </w:p>
    <w:p w14:paraId="2916E053" w14:textId="3B210ACC" w:rsidR="004C3A99" w:rsidRPr="0075656B" w:rsidRDefault="008B3B1B" w:rsidP="00E11D62">
      <w:pPr>
        <w:pStyle w:val="a4"/>
        <w:numPr>
          <w:ilvl w:val="0"/>
          <w:numId w:val="10"/>
        </w:numPr>
        <w:tabs>
          <w:tab w:val="left" w:pos="1134"/>
        </w:tabs>
        <w:spacing w:after="120" w:line="240" w:lineRule="auto"/>
        <w:ind w:left="567" w:hanging="567"/>
        <w:contextualSpacing w:val="0"/>
        <w:jc w:val="both"/>
        <w:rPr>
          <w:rFonts w:ascii="Times New Roman" w:hAnsi="Times New Roman"/>
          <w:sz w:val="16"/>
          <w:szCs w:val="16"/>
        </w:rPr>
      </w:pPr>
      <w:r w:rsidRPr="0075656B">
        <w:rPr>
          <w:rFonts w:ascii="Times New Roman" w:hAnsi="Times New Roman"/>
          <w:sz w:val="16"/>
          <w:szCs w:val="16"/>
        </w:rPr>
        <w:t xml:space="preserve">Акцепт настоящего заявления осуществляется </w:t>
      </w:r>
      <w:r w:rsidR="006B136A">
        <w:rPr>
          <w:rFonts w:ascii="Times New Roman" w:hAnsi="Times New Roman"/>
          <w:sz w:val="16"/>
          <w:szCs w:val="16"/>
        </w:rPr>
        <w:t>Акционерным обществом «Инвестиционная компания «Горизонт»</w:t>
      </w:r>
      <w:r w:rsidR="00AD580D">
        <w:rPr>
          <w:rFonts w:ascii="Times New Roman" w:hAnsi="Times New Roman"/>
          <w:sz w:val="16"/>
          <w:szCs w:val="16"/>
        </w:rPr>
        <w:t xml:space="preserve"> </w:t>
      </w:r>
      <w:r w:rsidR="006035B2" w:rsidRPr="0075656B">
        <w:rPr>
          <w:rFonts w:ascii="Times New Roman" w:hAnsi="Times New Roman"/>
          <w:sz w:val="16"/>
          <w:szCs w:val="16"/>
        </w:rPr>
        <w:t xml:space="preserve">путем совершения действий по выполнению условий соответствующих договоров, </w:t>
      </w:r>
      <w:r w:rsidR="00DB23EC" w:rsidRPr="0075656B">
        <w:rPr>
          <w:rFonts w:ascii="Times New Roman" w:hAnsi="Times New Roman"/>
          <w:sz w:val="16"/>
          <w:szCs w:val="16"/>
        </w:rPr>
        <w:t>в том числе</w:t>
      </w:r>
      <w:r w:rsidR="006035B2" w:rsidRPr="0075656B">
        <w:rPr>
          <w:rFonts w:ascii="Times New Roman" w:hAnsi="Times New Roman"/>
          <w:sz w:val="16"/>
          <w:szCs w:val="16"/>
        </w:rPr>
        <w:t>:</w:t>
      </w:r>
    </w:p>
    <w:p w14:paraId="6DA89323" w14:textId="152C5697" w:rsidR="006035B2" w:rsidRPr="0075656B" w:rsidRDefault="00DB23EC" w:rsidP="00E11D62">
      <w:pPr>
        <w:pStyle w:val="a4"/>
        <w:numPr>
          <w:ilvl w:val="0"/>
          <w:numId w:val="11"/>
        </w:numPr>
        <w:spacing w:after="120" w:line="240" w:lineRule="auto"/>
        <w:ind w:left="1134" w:hanging="567"/>
        <w:contextualSpacing w:val="0"/>
        <w:jc w:val="both"/>
        <w:rPr>
          <w:rFonts w:ascii="Times New Roman" w:hAnsi="Times New Roman"/>
          <w:sz w:val="16"/>
          <w:szCs w:val="16"/>
        </w:rPr>
      </w:pPr>
      <w:r w:rsidRPr="0075656B">
        <w:rPr>
          <w:rFonts w:ascii="Times New Roman" w:hAnsi="Times New Roman"/>
          <w:sz w:val="16"/>
          <w:szCs w:val="16"/>
        </w:rPr>
        <w:t>а</w:t>
      </w:r>
      <w:r w:rsidR="006035B2" w:rsidRPr="0075656B">
        <w:rPr>
          <w:rFonts w:ascii="Times New Roman" w:hAnsi="Times New Roman"/>
          <w:sz w:val="16"/>
          <w:szCs w:val="16"/>
        </w:rPr>
        <w:t xml:space="preserve">кцептом </w:t>
      </w:r>
      <w:r w:rsidR="006B136A">
        <w:rPr>
          <w:rFonts w:ascii="Times New Roman" w:hAnsi="Times New Roman"/>
          <w:sz w:val="16"/>
          <w:szCs w:val="16"/>
        </w:rPr>
        <w:t>Акционерного общества «Инвестиционная компания «Горизонт»</w:t>
      </w:r>
      <w:r w:rsidR="00AD580D">
        <w:rPr>
          <w:rFonts w:ascii="Times New Roman" w:hAnsi="Times New Roman"/>
          <w:sz w:val="16"/>
          <w:szCs w:val="16"/>
        </w:rPr>
        <w:t xml:space="preserve"> </w:t>
      </w:r>
      <w:r w:rsidR="006035B2" w:rsidRPr="0075656B">
        <w:rPr>
          <w:rFonts w:ascii="Times New Roman" w:hAnsi="Times New Roman"/>
          <w:sz w:val="16"/>
          <w:szCs w:val="16"/>
        </w:rPr>
        <w:t>пред</w:t>
      </w:r>
      <w:r w:rsidR="002B561A" w:rsidRPr="0075656B">
        <w:rPr>
          <w:rFonts w:ascii="Times New Roman" w:hAnsi="Times New Roman"/>
          <w:sz w:val="16"/>
          <w:szCs w:val="16"/>
        </w:rPr>
        <w:t xml:space="preserve">ложения о заключении Договора о </w:t>
      </w:r>
      <w:r w:rsidR="006D02DE" w:rsidRPr="0075656B">
        <w:rPr>
          <w:rFonts w:ascii="Times New Roman" w:hAnsi="Times New Roman"/>
          <w:sz w:val="16"/>
          <w:szCs w:val="16"/>
        </w:rPr>
        <w:t>б</w:t>
      </w:r>
      <w:r w:rsidR="006035B2" w:rsidRPr="0075656B">
        <w:rPr>
          <w:rFonts w:ascii="Times New Roman" w:hAnsi="Times New Roman"/>
          <w:sz w:val="16"/>
          <w:szCs w:val="16"/>
        </w:rPr>
        <w:t>рокерском обслуживании могут являться:</w:t>
      </w:r>
    </w:p>
    <w:p w14:paraId="77218E63" w14:textId="77777777" w:rsidR="006035B2" w:rsidRPr="0075656B" w:rsidRDefault="006035B2" w:rsidP="00E11D62">
      <w:pPr>
        <w:pStyle w:val="a4"/>
        <w:tabs>
          <w:tab w:val="left" w:pos="567"/>
        </w:tabs>
        <w:spacing w:after="120" w:line="240" w:lineRule="auto"/>
        <w:ind w:left="1134"/>
        <w:contextualSpacing w:val="0"/>
        <w:jc w:val="both"/>
        <w:rPr>
          <w:rFonts w:ascii="Times New Roman" w:hAnsi="Times New Roman"/>
          <w:sz w:val="16"/>
          <w:szCs w:val="16"/>
        </w:rPr>
      </w:pPr>
      <w:r w:rsidRPr="0075656B">
        <w:rPr>
          <w:rFonts w:ascii="Times New Roman" w:hAnsi="Times New Roman"/>
          <w:sz w:val="16"/>
          <w:szCs w:val="16"/>
        </w:rPr>
        <w:t>- совершение действий по присвоению Клиенту торговых кодов;</w:t>
      </w:r>
    </w:p>
    <w:p w14:paraId="5D6062BA" w14:textId="77777777" w:rsidR="006035B2" w:rsidRPr="0075656B" w:rsidRDefault="006035B2" w:rsidP="00E11D62">
      <w:pPr>
        <w:pStyle w:val="a4"/>
        <w:tabs>
          <w:tab w:val="left" w:pos="567"/>
        </w:tabs>
        <w:spacing w:after="120" w:line="240" w:lineRule="auto"/>
        <w:ind w:left="1134"/>
        <w:contextualSpacing w:val="0"/>
        <w:jc w:val="both"/>
        <w:rPr>
          <w:rFonts w:ascii="Times New Roman" w:hAnsi="Times New Roman"/>
          <w:sz w:val="16"/>
          <w:szCs w:val="16"/>
        </w:rPr>
      </w:pPr>
      <w:r w:rsidRPr="0075656B">
        <w:rPr>
          <w:rFonts w:ascii="Times New Roman" w:hAnsi="Times New Roman"/>
          <w:sz w:val="16"/>
          <w:szCs w:val="16"/>
        </w:rPr>
        <w:t xml:space="preserve">- предоставление доступа к </w:t>
      </w:r>
      <w:r w:rsidR="007F05A7" w:rsidRPr="0075656B">
        <w:rPr>
          <w:rFonts w:ascii="Times New Roman" w:hAnsi="Times New Roman"/>
          <w:sz w:val="16"/>
          <w:szCs w:val="16"/>
        </w:rPr>
        <w:t>Системе и</w:t>
      </w:r>
      <w:r w:rsidRPr="0075656B">
        <w:rPr>
          <w:rFonts w:ascii="Times New Roman" w:hAnsi="Times New Roman"/>
          <w:sz w:val="16"/>
          <w:szCs w:val="16"/>
        </w:rPr>
        <w:t>нтернет-трейдинг</w:t>
      </w:r>
      <w:r w:rsidR="007F05A7" w:rsidRPr="0075656B">
        <w:rPr>
          <w:rFonts w:ascii="Times New Roman" w:hAnsi="Times New Roman"/>
          <w:sz w:val="16"/>
          <w:szCs w:val="16"/>
        </w:rPr>
        <w:t>а</w:t>
      </w:r>
      <w:r w:rsidRPr="0075656B">
        <w:rPr>
          <w:rFonts w:ascii="Times New Roman" w:hAnsi="Times New Roman"/>
          <w:sz w:val="16"/>
          <w:szCs w:val="16"/>
        </w:rPr>
        <w:t>;</w:t>
      </w:r>
    </w:p>
    <w:p w14:paraId="55B84FA9" w14:textId="39413045" w:rsidR="007B64E9" w:rsidRPr="0075656B" w:rsidRDefault="00DB23EC" w:rsidP="00E11D62">
      <w:pPr>
        <w:pStyle w:val="a4"/>
        <w:numPr>
          <w:ilvl w:val="0"/>
          <w:numId w:val="11"/>
        </w:numPr>
        <w:spacing w:after="120" w:line="240" w:lineRule="auto"/>
        <w:ind w:left="1134" w:hanging="567"/>
        <w:contextualSpacing w:val="0"/>
        <w:jc w:val="both"/>
        <w:rPr>
          <w:rFonts w:ascii="Times New Roman" w:hAnsi="Times New Roman"/>
          <w:sz w:val="16"/>
          <w:szCs w:val="16"/>
        </w:rPr>
      </w:pPr>
      <w:r w:rsidRPr="0075656B">
        <w:rPr>
          <w:rFonts w:ascii="Times New Roman" w:hAnsi="Times New Roman"/>
          <w:sz w:val="16"/>
          <w:szCs w:val="16"/>
        </w:rPr>
        <w:t>а</w:t>
      </w:r>
      <w:r w:rsidR="007B64E9" w:rsidRPr="0075656B">
        <w:rPr>
          <w:rFonts w:ascii="Times New Roman" w:hAnsi="Times New Roman"/>
          <w:sz w:val="16"/>
          <w:szCs w:val="16"/>
        </w:rPr>
        <w:t xml:space="preserve">кцептом </w:t>
      </w:r>
      <w:r w:rsidR="006B136A">
        <w:rPr>
          <w:rFonts w:ascii="Times New Roman" w:hAnsi="Times New Roman"/>
          <w:sz w:val="16"/>
          <w:szCs w:val="16"/>
        </w:rPr>
        <w:t>Акционерного общества «Инвестиционная компания «Горизонт»</w:t>
      </w:r>
      <w:r w:rsidR="007B64E9" w:rsidRPr="0075656B">
        <w:rPr>
          <w:rFonts w:ascii="Times New Roman" w:hAnsi="Times New Roman"/>
          <w:sz w:val="16"/>
          <w:szCs w:val="16"/>
        </w:rPr>
        <w:t xml:space="preserve"> предложения о заключении Депозитарного договор</w:t>
      </w:r>
      <w:r w:rsidR="009F5306" w:rsidRPr="0075656B">
        <w:rPr>
          <w:rFonts w:ascii="Times New Roman" w:hAnsi="Times New Roman"/>
          <w:sz w:val="16"/>
          <w:szCs w:val="16"/>
        </w:rPr>
        <w:t>а</w:t>
      </w:r>
      <w:r w:rsidR="007B64E9" w:rsidRPr="0075656B">
        <w:rPr>
          <w:rFonts w:ascii="Times New Roman" w:hAnsi="Times New Roman"/>
          <w:sz w:val="16"/>
          <w:szCs w:val="16"/>
        </w:rPr>
        <w:t xml:space="preserve"> мо</w:t>
      </w:r>
      <w:r w:rsidR="00184BF6" w:rsidRPr="0075656B">
        <w:rPr>
          <w:rFonts w:ascii="Times New Roman" w:hAnsi="Times New Roman"/>
          <w:sz w:val="16"/>
          <w:szCs w:val="16"/>
        </w:rPr>
        <w:t>же</w:t>
      </w:r>
      <w:r w:rsidR="007B64E9" w:rsidRPr="0075656B">
        <w:rPr>
          <w:rFonts w:ascii="Times New Roman" w:hAnsi="Times New Roman"/>
          <w:sz w:val="16"/>
          <w:szCs w:val="16"/>
        </w:rPr>
        <w:t>т являться:</w:t>
      </w:r>
    </w:p>
    <w:p w14:paraId="1AD4FB49" w14:textId="77777777" w:rsidR="007B64E9" w:rsidRPr="0075656B" w:rsidRDefault="007B64E9" w:rsidP="00E11D62">
      <w:pPr>
        <w:pStyle w:val="a4"/>
        <w:tabs>
          <w:tab w:val="left" w:pos="567"/>
        </w:tabs>
        <w:spacing w:after="120" w:line="240" w:lineRule="auto"/>
        <w:ind w:left="1134"/>
        <w:contextualSpacing w:val="0"/>
        <w:jc w:val="both"/>
        <w:rPr>
          <w:rFonts w:ascii="Times New Roman" w:hAnsi="Times New Roman"/>
          <w:sz w:val="16"/>
          <w:szCs w:val="16"/>
        </w:rPr>
      </w:pPr>
      <w:r w:rsidRPr="0075656B">
        <w:rPr>
          <w:rFonts w:ascii="Times New Roman" w:hAnsi="Times New Roman"/>
          <w:sz w:val="16"/>
          <w:szCs w:val="16"/>
        </w:rPr>
        <w:t>- открытие Депоненту счета депо</w:t>
      </w:r>
      <w:r w:rsidR="00184BF6" w:rsidRPr="0075656B">
        <w:rPr>
          <w:rFonts w:ascii="Times New Roman" w:hAnsi="Times New Roman"/>
          <w:sz w:val="16"/>
          <w:szCs w:val="16"/>
        </w:rPr>
        <w:t>.</w:t>
      </w:r>
    </w:p>
    <w:p w14:paraId="77B8E0C7" w14:textId="4BB9AB28" w:rsidR="002B561A" w:rsidRPr="0075656B" w:rsidRDefault="0002435E" w:rsidP="00E11D62">
      <w:pPr>
        <w:pStyle w:val="a4"/>
        <w:numPr>
          <w:ilvl w:val="0"/>
          <w:numId w:val="10"/>
        </w:numPr>
        <w:tabs>
          <w:tab w:val="left" w:pos="1134"/>
        </w:tabs>
        <w:spacing w:after="120" w:line="240" w:lineRule="auto"/>
        <w:ind w:left="567" w:hanging="567"/>
        <w:contextualSpacing w:val="0"/>
        <w:jc w:val="both"/>
        <w:rPr>
          <w:rFonts w:ascii="Times New Roman" w:hAnsi="Times New Roman"/>
          <w:sz w:val="16"/>
          <w:szCs w:val="16"/>
        </w:rPr>
      </w:pPr>
      <w:r w:rsidRPr="0075656B">
        <w:rPr>
          <w:rFonts w:ascii="Times New Roman" w:hAnsi="Times New Roman"/>
          <w:sz w:val="16"/>
          <w:szCs w:val="16"/>
        </w:rPr>
        <w:t xml:space="preserve">Акцепт </w:t>
      </w:r>
      <w:r w:rsidR="006B136A">
        <w:rPr>
          <w:rFonts w:ascii="Times New Roman" w:hAnsi="Times New Roman"/>
          <w:sz w:val="16"/>
          <w:szCs w:val="16"/>
        </w:rPr>
        <w:t>Акционерн</w:t>
      </w:r>
      <w:r w:rsidR="00C23C34">
        <w:rPr>
          <w:rFonts w:ascii="Times New Roman" w:hAnsi="Times New Roman"/>
          <w:sz w:val="16"/>
          <w:szCs w:val="16"/>
        </w:rPr>
        <w:t>ым</w:t>
      </w:r>
      <w:r w:rsidR="006B136A">
        <w:rPr>
          <w:rFonts w:ascii="Times New Roman" w:hAnsi="Times New Roman"/>
          <w:sz w:val="16"/>
          <w:szCs w:val="16"/>
        </w:rPr>
        <w:t xml:space="preserve"> обществ</w:t>
      </w:r>
      <w:r w:rsidR="00C23C34">
        <w:rPr>
          <w:rFonts w:ascii="Times New Roman" w:hAnsi="Times New Roman"/>
          <w:sz w:val="16"/>
          <w:szCs w:val="16"/>
        </w:rPr>
        <w:t>ом</w:t>
      </w:r>
      <w:r w:rsidR="006B136A">
        <w:rPr>
          <w:rFonts w:ascii="Times New Roman" w:hAnsi="Times New Roman"/>
          <w:sz w:val="16"/>
          <w:szCs w:val="16"/>
        </w:rPr>
        <w:t xml:space="preserve"> «Инвестиционная компания «Горизонт»</w:t>
      </w:r>
      <w:r w:rsidR="00AD580D">
        <w:rPr>
          <w:rFonts w:ascii="Times New Roman" w:hAnsi="Times New Roman"/>
          <w:sz w:val="16"/>
          <w:szCs w:val="16"/>
        </w:rPr>
        <w:t xml:space="preserve"> </w:t>
      </w:r>
      <w:r w:rsidR="002B561A" w:rsidRPr="0075656B">
        <w:rPr>
          <w:rFonts w:ascii="Times New Roman" w:hAnsi="Times New Roman"/>
          <w:sz w:val="16"/>
          <w:szCs w:val="16"/>
        </w:rPr>
        <w:t>предложения о заключении договоров, отметка о присоединении к условиям которых содержится в настоящем заявлении</w:t>
      </w:r>
      <w:r w:rsidR="00EF1376" w:rsidRPr="0075656B">
        <w:rPr>
          <w:rFonts w:ascii="Times New Roman" w:hAnsi="Times New Roman"/>
          <w:sz w:val="16"/>
          <w:szCs w:val="16"/>
        </w:rPr>
        <w:t>,</w:t>
      </w:r>
      <w:r w:rsidR="002B561A" w:rsidRPr="0075656B">
        <w:rPr>
          <w:rFonts w:ascii="Times New Roman" w:hAnsi="Times New Roman"/>
          <w:sz w:val="16"/>
          <w:szCs w:val="16"/>
        </w:rPr>
        <w:t xml:space="preserve"> способом, указанным в разделе (</w:t>
      </w:r>
      <w:r w:rsidR="002B561A" w:rsidRPr="0075656B">
        <w:rPr>
          <w:rFonts w:ascii="Times New Roman" w:hAnsi="Times New Roman"/>
          <w:sz w:val="16"/>
          <w:szCs w:val="16"/>
          <w:lang w:val="en-US"/>
        </w:rPr>
        <w:t>B</w:t>
      </w:r>
      <w:r w:rsidR="002B561A" w:rsidRPr="0075656B">
        <w:rPr>
          <w:rFonts w:ascii="Times New Roman" w:hAnsi="Times New Roman"/>
          <w:sz w:val="16"/>
          <w:szCs w:val="16"/>
        </w:rPr>
        <w:t xml:space="preserve">) </w:t>
      </w:r>
      <w:r w:rsidRPr="0075656B">
        <w:rPr>
          <w:rFonts w:ascii="Times New Roman" w:hAnsi="Times New Roman"/>
          <w:sz w:val="16"/>
          <w:szCs w:val="16"/>
        </w:rPr>
        <w:t>настоящего заявления</w:t>
      </w:r>
      <w:r w:rsidR="002E6206" w:rsidRPr="0075656B">
        <w:rPr>
          <w:rFonts w:ascii="Times New Roman" w:hAnsi="Times New Roman"/>
          <w:sz w:val="16"/>
          <w:szCs w:val="16"/>
        </w:rPr>
        <w:t xml:space="preserve">, </w:t>
      </w:r>
      <w:r w:rsidRPr="0075656B">
        <w:rPr>
          <w:rFonts w:ascii="Times New Roman" w:hAnsi="Times New Roman"/>
          <w:sz w:val="16"/>
          <w:szCs w:val="16"/>
        </w:rPr>
        <w:t>является в соответствии с п. 3 ст. 434 Гражданского кодекса</w:t>
      </w:r>
      <w:r w:rsidR="00D6169E" w:rsidRPr="0075656B">
        <w:rPr>
          <w:rFonts w:ascii="Times New Roman" w:hAnsi="Times New Roman"/>
          <w:sz w:val="16"/>
          <w:szCs w:val="16"/>
        </w:rPr>
        <w:t xml:space="preserve"> соблюдением письменной формы договора</w:t>
      </w:r>
      <w:r w:rsidR="002E6206" w:rsidRPr="0075656B">
        <w:rPr>
          <w:rFonts w:ascii="Times New Roman" w:hAnsi="Times New Roman"/>
          <w:sz w:val="16"/>
          <w:szCs w:val="16"/>
        </w:rPr>
        <w:t>.</w:t>
      </w:r>
    </w:p>
    <w:p w14:paraId="0A943A84" w14:textId="4704AE19" w:rsidR="002B561A" w:rsidRPr="0075656B" w:rsidRDefault="00C063A6" w:rsidP="00E11D62">
      <w:pPr>
        <w:pStyle w:val="a4"/>
        <w:numPr>
          <w:ilvl w:val="0"/>
          <w:numId w:val="10"/>
        </w:numPr>
        <w:tabs>
          <w:tab w:val="left" w:pos="1134"/>
        </w:tabs>
        <w:spacing w:after="120" w:line="240" w:lineRule="auto"/>
        <w:ind w:left="567" w:hanging="567"/>
        <w:contextualSpacing w:val="0"/>
        <w:jc w:val="both"/>
        <w:rPr>
          <w:rFonts w:ascii="Times New Roman" w:hAnsi="Times New Roman"/>
          <w:sz w:val="16"/>
          <w:szCs w:val="16"/>
        </w:rPr>
      </w:pPr>
      <w:r w:rsidRPr="0075656B">
        <w:rPr>
          <w:rFonts w:ascii="Times New Roman" w:hAnsi="Times New Roman"/>
          <w:sz w:val="16"/>
          <w:szCs w:val="16"/>
        </w:rPr>
        <w:t>О</w:t>
      </w:r>
      <w:r w:rsidR="002B561A" w:rsidRPr="0075656B">
        <w:rPr>
          <w:rFonts w:ascii="Times New Roman" w:hAnsi="Times New Roman"/>
          <w:sz w:val="16"/>
          <w:szCs w:val="16"/>
        </w:rPr>
        <w:t xml:space="preserve"> принятии </w:t>
      </w:r>
      <w:r w:rsidR="006B136A">
        <w:rPr>
          <w:rFonts w:ascii="Times New Roman" w:hAnsi="Times New Roman"/>
          <w:sz w:val="16"/>
          <w:szCs w:val="16"/>
        </w:rPr>
        <w:t>Акционерным обществом «Инвестиционная компания «Горизонт»</w:t>
      </w:r>
      <w:r w:rsidR="002B561A" w:rsidRPr="0075656B">
        <w:rPr>
          <w:rFonts w:ascii="Times New Roman" w:hAnsi="Times New Roman"/>
          <w:sz w:val="16"/>
          <w:szCs w:val="16"/>
        </w:rPr>
        <w:t xml:space="preserve"> предложения о заключении договоров, отметка о присоединении к условиям которых содержится в настоящем заявлении</w:t>
      </w:r>
      <w:r w:rsidR="002E6206" w:rsidRPr="0075656B">
        <w:rPr>
          <w:rFonts w:ascii="Times New Roman" w:hAnsi="Times New Roman"/>
          <w:sz w:val="16"/>
          <w:szCs w:val="16"/>
        </w:rPr>
        <w:t xml:space="preserve">, </w:t>
      </w:r>
      <w:r w:rsidR="006B136A">
        <w:rPr>
          <w:rFonts w:ascii="Times New Roman" w:hAnsi="Times New Roman"/>
          <w:sz w:val="16"/>
          <w:szCs w:val="16"/>
        </w:rPr>
        <w:t>Акционерное общество «Инвестиционная компания «Горизонт»</w:t>
      </w:r>
      <w:r w:rsidR="00AD580D">
        <w:rPr>
          <w:rFonts w:ascii="Times New Roman" w:hAnsi="Times New Roman"/>
          <w:sz w:val="16"/>
          <w:szCs w:val="16"/>
        </w:rPr>
        <w:t xml:space="preserve"> </w:t>
      </w:r>
      <w:r w:rsidR="002E6206" w:rsidRPr="0075656B">
        <w:rPr>
          <w:rFonts w:ascii="Times New Roman" w:hAnsi="Times New Roman"/>
          <w:sz w:val="16"/>
          <w:szCs w:val="16"/>
        </w:rPr>
        <w:t>направляет заявителю уведомлении о заключении договоров с указанием их реквизитов. Такое уведомление направляется посредством электронной почты, используя адрес электронной почты Клиента (Депонента), указанный Клиентом (Депонентом) в Анкете</w:t>
      </w:r>
      <w:r w:rsidR="006B136A" w:rsidRPr="006B136A">
        <w:rPr>
          <w:rFonts w:ascii="Tahoma" w:hAnsi="Tahoma" w:cs="Tahoma"/>
          <w:sz w:val="16"/>
          <w:szCs w:val="16"/>
        </w:rPr>
        <w:t xml:space="preserve"> </w:t>
      </w:r>
      <w:r w:rsidR="006B136A" w:rsidRPr="0045495A">
        <w:rPr>
          <w:rFonts w:ascii="Times New Roman" w:hAnsi="Times New Roman"/>
          <w:sz w:val="16"/>
          <w:szCs w:val="16"/>
        </w:rPr>
        <w:t>либо используя функциональные возможности Личного кабинета,</w:t>
      </w:r>
      <w:r w:rsidR="002E6206" w:rsidRPr="0075656B">
        <w:rPr>
          <w:rFonts w:ascii="Times New Roman" w:hAnsi="Times New Roman"/>
          <w:sz w:val="16"/>
          <w:szCs w:val="16"/>
        </w:rPr>
        <w:t xml:space="preserve"> либо </w:t>
      </w:r>
      <w:r w:rsidR="006522C0" w:rsidRPr="0075656B">
        <w:rPr>
          <w:rFonts w:ascii="Times New Roman" w:hAnsi="Times New Roman"/>
          <w:sz w:val="16"/>
          <w:szCs w:val="16"/>
        </w:rPr>
        <w:t>передается заявителю в офисе Компании</w:t>
      </w:r>
      <w:r w:rsidR="002C7F05" w:rsidRPr="0075656B">
        <w:rPr>
          <w:rFonts w:ascii="Times New Roman" w:hAnsi="Times New Roman"/>
          <w:sz w:val="16"/>
          <w:szCs w:val="16"/>
        </w:rPr>
        <w:t>.</w:t>
      </w:r>
    </w:p>
    <w:p w14:paraId="7395961E" w14:textId="77777777" w:rsidR="00D6169E" w:rsidRPr="0075656B" w:rsidRDefault="00D6169E" w:rsidP="00E11D62">
      <w:pPr>
        <w:pStyle w:val="a4"/>
        <w:spacing w:line="240" w:lineRule="auto"/>
        <w:ind w:left="0" w:firstLine="567"/>
        <w:jc w:val="both"/>
        <w:rPr>
          <w:rFonts w:ascii="Times New Roman" w:hAnsi="Times New Roman"/>
          <w:sz w:val="16"/>
          <w:szCs w:val="16"/>
        </w:rPr>
      </w:pPr>
    </w:p>
    <w:p w14:paraId="13DC5E17" w14:textId="08124504" w:rsidR="00A61DD5" w:rsidRPr="0075656B" w:rsidRDefault="0062353E" w:rsidP="00E11D62">
      <w:pPr>
        <w:pStyle w:val="a4"/>
        <w:numPr>
          <w:ilvl w:val="0"/>
          <w:numId w:val="4"/>
        </w:numPr>
        <w:spacing w:line="240" w:lineRule="auto"/>
        <w:ind w:left="567" w:hanging="567"/>
        <w:jc w:val="both"/>
        <w:rPr>
          <w:rFonts w:ascii="Times New Roman" w:eastAsia="MS Gothic" w:hAnsi="Times New Roman"/>
          <w:sz w:val="20"/>
          <w:szCs w:val="20"/>
        </w:rPr>
      </w:pPr>
      <w:r w:rsidRPr="0075656B">
        <w:rPr>
          <w:rFonts w:ascii="Times New Roman" w:eastAsia="MS Gothic" w:hAnsi="Times New Roman"/>
          <w:sz w:val="20"/>
          <w:szCs w:val="20"/>
        </w:rPr>
        <w:t>Присоединение к Договору о брокерском обслуживании</w:t>
      </w:r>
      <w:r w:rsidR="00473BCD" w:rsidRPr="0075656B">
        <w:rPr>
          <w:rFonts w:ascii="Times New Roman" w:eastAsia="MS Gothic" w:hAnsi="Times New Roman"/>
          <w:sz w:val="20"/>
          <w:szCs w:val="20"/>
        </w:rPr>
        <w:t xml:space="preserve"> </w:t>
      </w:r>
      <w:r w:rsidR="00473BCD" w:rsidRPr="0075656B">
        <w:rPr>
          <w:rFonts w:ascii="Times New Roman" w:eastAsia="MS Gothic" w:hAnsi="Times New Roman"/>
          <w:i/>
          <w:sz w:val="20"/>
          <w:szCs w:val="20"/>
        </w:rPr>
        <w:t>(возмездн</w:t>
      </w:r>
      <w:r w:rsidR="00203A39" w:rsidRPr="0075656B">
        <w:rPr>
          <w:rFonts w:ascii="Times New Roman" w:eastAsia="MS Gothic" w:hAnsi="Times New Roman"/>
          <w:i/>
          <w:sz w:val="20"/>
          <w:szCs w:val="20"/>
        </w:rPr>
        <w:t>ому</w:t>
      </w:r>
      <w:r w:rsidR="00473BCD" w:rsidRPr="0075656B">
        <w:rPr>
          <w:rFonts w:ascii="Times New Roman" w:eastAsia="MS Gothic" w:hAnsi="Times New Roman"/>
          <w:i/>
          <w:sz w:val="20"/>
          <w:szCs w:val="20"/>
        </w:rPr>
        <w:t xml:space="preserve"> договор</w:t>
      </w:r>
      <w:r w:rsidR="00203A39" w:rsidRPr="0075656B">
        <w:rPr>
          <w:rFonts w:ascii="Times New Roman" w:eastAsia="MS Gothic" w:hAnsi="Times New Roman"/>
          <w:i/>
          <w:sz w:val="20"/>
          <w:szCs w:val="20"/>
        </w:rPr>
        <w:t>у</w:t>
      </w:r>
      <w:r w:rsidR="00473BCD" w:rsidRPr="0075656B">
        <w:rPr>
          <w:rFonts w:ascii="Times New Roman" w:eastAsia="MS Gothic" w:hAnsi="Times New Roman"/>
          <w:i/>
          <w:sz w:val="20"/>
          <w:szCs w:val="20"/>
        </w:rPr>
        <w:t>, заключаем</w:t>
      </w:r>
      <w:r w:rsidR="00203A39" w:rsidRPr="0075656B">
        <w:rPr>
          <w:rFonts w:ascii="Times New Roman" w:eastAsia="MS Gothic" w:hAnsi="Times New Roman"/>
          <w:i/>
          <w:sz w:val="20"/>
          <w:szCs w:val="20"/>
        </w:rPr>
        <w:t>ому</w:t>
      </w:r>
      <w:r w:rsidR="00473BCD" w:rsidRPr="0075656B">
        <w:rPr>
          <w:rFonts w:ascii="Times New Roman" w:eastAsia="MS Gothic" w:hAnsi="Times New Roman"/>
          <w:i/>
          <w:sz w:val="20"/>
          <w:szCs w:val="20"/>
        </w:rPr>
        <w:t xml:space="preserve"> между Компанией </w:t>
      </w:r>
      <w:r w:rsidR="00203A39" w:rsidRPr="0075656B">
        <w:rPr>
          <w:rFonts w:ascii="Times New Roman" w:eastAsia="MS Gothic" w:hAnsi="Times New Roman"/>
          <w:i/>
          <w:sz w:val="20"/>
          <w:szCs w:val="20"/>
        </w:rPr>
        <w:t xml:space="preserve">и </w:t>
      </w:r>
      <w:r w:rsidR="00B85F67" w:rsidRPr="0075656B">
        <w:rPr>
          <w:rFonts w:ascii="Times New Roman" w:eastAsia="MS Gothic" w:hAnsi="Times New Roman"/>
          <w:i/>
          <w:sz w:val="20"/>
          <w:szCs w:val="20"/>
        </w:rPr>
        <w:t>заявителем</w:t>
      </w:r>
      <w:r w:rsidR="00473BCD" w:rsidRPr="0075656B">
        <w:rPr>
          <w:rFonts w:ascii="Times New Roman" w:eastAsia="MS Gothic" w:hAnsi="Times New Roman"/>
          <w:i/>
          <w:sz w:val="20"/>
          <w:szCs w:val="20"/>
        </w:rPr>
        <w:t xml:space="preserve">, в рамках которого Компания обязуется исполнять поручения </w:t>
      </w:r>
      <w:r w:rsidR="00203A39" w:rsidRPr="0075656B">
        <w:rPr>
          <w:rFonts w:ascii="Times New Roman" w:eastAsia="MS Gothic" w:hAnsi="Times New Roman"/>
          <w:i/>
          <w:sz w:val="20"/>
          <w:szCs w:val="20"/>
        </w:rPr>
        <w:t>К</w:t>
      </w:r>
      <w:r w:rsidR="00473BCD" w:rsidRPr="0075656B">
        <w:rPr>
          <w:rFonts w:ascii="Times New Roman" w:eastAsia="MS Gothic" w:hAnsi="Times New Roman"/>
          <w:i/>
          <w:sz w:val="20"/>
          <w:szCs w:val="20"/>
        </w:rPr>
        <w:t>лиента на совершение гражданско-правовых сделок с ценными бумагами и (или) на заключение договоров, являющихся производными финансовыми инструментами)</w:t>
      </w:r>
      <w:r w:rsidR="00A61DD5" w:rsidRPr="0075656B">
        <w:rPr>
          <w:rFonts w:ascii="Times New Roman" w:eastAsia="MS Gothic" w:hAnsi="Times New Roman"/>
          <w:sz w:val="20"/>
          <w:szCs w:val="20"/>
        </w:rPr>
        <w:t>.</w:t>
      </w:r>
    </w:p>
    <w:p w14:paraId="22A4C9B6" w14:textId="77777777" w:rsidR="0001185A" w:rsidRPr="0075656B" w:rsidRDefault="0062353E" w:rsidP="00E11D62">
      <w:pPr>
        <w:tabs>
          <w:tab w:val="left" w:pos="1134"/>
        </w:tabs>
        <w:spacing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Настоящим в соответствие со статьей 428 Гражданского кодекса РФ полностью </w:t>
      </w:r>
      <w:r w:rsidR="005B2B33" w:rsidRPr="0075656B">
        <w:rPr>
          <w:rFonts w:ascii="Times New Roman" w:eastAsia="MS Gothic" w:hAnsi="Times New Roman"/>
          <w:sz w:val="16"/>
          <w:szCs w:val="16"/>
        </w:rPr>
        <w:t xml:space="preserve">и безусловно </w:t>
      </w:r>
      <w:r w:rsidR="008B05B2" w:rsidRPr="0075656B">
        <w:rPr>
          <w:rFonts w:ascii="Times New Roman" w:eastAsia="MS Gothic" w:hAnsi="Times New Roman"/>
          <w:sz w:val="16"/>
          <w:szCs w:val="16"/>
        </w:rPr>
        <w:t>принимаю условия Договора</w:t>
      </w:r>
      <w:r w:rsidRPr="0075656B">
        <w:rPr>
          <w:rFonts w:ascii="Times New Roman" w:eastAsia="MS Gothic" w:hAnsi="Times New Roman"/>
          <w:sz w:val="16"/>
          <w:szCs w:val="16"/>
        </w:rPr>
        <w:t xml:space="preserve"> о брокерском обслуживании, </w:t>
      </w:r>
      <w:r w:rsidR="00FB10A7" w:rsidRPr="0075656B">
        <w:rPr>
          <w:rFonts w:ascii="Times New Roman" w:eastAsia="MS Gothic" w:hAnsi="Times New Roman"/>
          <w:sz w:val="16"/>
          <w:szCs w:val="16"/>
        </w:rPr>
        <w:t xml:space="preserve">форма и </w:t>
      </w:r>
      <w:r w:rsidRPr="0075656B">
        <w:rPr>
          <w:rFonts w:ascii="Times New Roman" w:eastAsia="MS Gothic" w:hAnsi="Times New Roman"/>
          <w:sz w:val="16"/>
          <w:szCs w:val="16"/>
        </w:rPr>
        <w:t xml:space="preserve">условия которого </w:t>
      </w:r>
      <w:r w:rsidR="006E3464" w:rsidRPr="0075656B">
        <w:rPr>
          <w:rFonts w:ascii="Times New Roman" w:eastAsia="MS Gothic" w:hAnsi="Times New Roman"/>
          <w:sz w:val="16"/>
          <w:szCs w:val="16"/>
        </w:rPr>
        <w:t>закреплены</w:t>
      </w:r>
      <w:r w:rsidR="00BF6B9B" w:rsidRPr="0075656B">
        <w:rPr>
          <w:rFonts w:ascii="Times New Roman" w:eastAsia="MS Gothic" w:hAnsi="Times New Roman"/>
          <w:sz w:val="16"/>
          <w:szCs w:val="16"/>
        </w:rPr>
        <w:t xml:space="preserve"> </w:t>
      </w:r>
      <w:r w:rsidR="002E431B" w:rsidRPr="0075656B">
        <w:rPr>
          <w:rFonts w:ascii="Times New Roman" w:eastAsia="MS Gothic" w:hAnsi="Times New Roman"/>
          <w:i/>
          <w:sz w:val="16"/>
          <w:szCs w:val="16"/>
        </w:rPr>
        <w:t>(</w:t>
      </w:r>
      <w:r w:rsidR="00525E97" w:rsidRPr="0075656B">
        <w:rPr>
          <w:rFonts w:ascii="Times New Roman" w:eastAsia="MS Gothic" w:hAnsi="Times New Roman"/>
          <w:i/>
          <w:sz w:val="16"/>
          <w:szCs w:val="16"/>
        </w:rPr>
        <w:t xml:space="preserve">далее </w:t>
      </w:r>
      <w:r w:rsidR="00BF6B9B" w:rsidRPr="0075656B">
        <w:rPr>
          <w:rFonts w:ascii="Times New Roman" w:eastAsia="MS Gothic" w:hAnsi="Times New Roman"/>
          <w:i/>
          <w:sz w:val="16"/>
          <w:szCs w:val="16"/>
        </w:rPr>
        <w:t>в</w:t>
      </w:r>
      <w:r w:rsidR="002E431B" w:rsidRPr="0075656B">
        <w:rPr>
          <w:rFonts w:ascii="Times New Roman" w:eastAsia="MS Gothic" w:hAnsi="Times New Roman"/>
          <w:i/>
          <w:sz w:val="16"/>
          <w:szCs w:val="16"/>
        </w:rPr>
        <w:t>ыбирается один из вариантов):</w:t>
      </w:r>
    </w:p>
    <w:p w14:paraId="26DB0603" w14:textId="7972172C" w:rsidR="0001185A" w:rsidRPr="0075656B" w:rsidRDefault="00802E57" w:rsidP="00E11D62">
      <w:pPr>
        <w:tabs>
          <w:tab w:val="left" w:pos="1134"/>
        </w:tabs>
        <w:spacing w:line="240" w:lineRule="auto"/>
        <w:ind w:left="426"/>
        <w:jc w:val="both"/>
        <w:rPr>
          <w:rFonts w:ascii="Times New Roman" w:eastAsia="MS Gothic" w:hAnsi="Times New Roman"/>
          <w:sz w:val="16"/>
          <w:szCs w:val="16"/>
        </w:rPr>
      </w:pPr>
      <w:sdt>
        <w:sdtPr>
          <w:rPr>
            <w:rFonts w:ascii="Times New Roman" w:eastAsia="MS Gothic" w:hAnsi="Times New Roman"/>
            <w:sz w:val="20"/>
            <w:szCs w:val="20"/>
          </w:rPr>
          <w:id w:val="-1641188385"/>
          <w14:checkbox>
            <w14:checked w14:val="0"/>
            <w14:checkedState w14:val="2612" w14:font="MS Gothic"/>
            <w14:uncheckedState w14:val="2610" w14:font="MS Gothic"/>
          </w14:checkbox>
        </w:sdtPr>
        <w:sdtEndPr/>
        <w:sdtContent>
          <w:r w:rsidR="00F167BA" w:rsidRPr="0075656B">
            <w:rPr>
              <w:rFonts w:ascii="Segoe UI Symbol" w:eastAsia="MS Gothic" w:hAnsi="Segoe UI Symbol" w:cs="Segoe UI Symbol"/>
              <w:sz w:val="20"/>
              <w:szCs w:val="20"/>
            </w:rPr>
            <w:t>☐</w:t>
          </w:r>
        </w:sdtContent>
      </w:sdt>
      <w:r w:rsidR="00F167BA" w:rsidRPr="0075656B" w:rsidDel="00F167BA">
        <w:rPr>
          <w:rFonts w:ascii="Times New Roman" w:eastAsia="MS Gothic" w:hAnsi="Times New Roman"/>
          <w:sz w:val="16"/>
          <w:szCs w:val="16"/>
        </w:rPr>
        <w:t xml:space="preserve"> </w:t>
      </w:r>
      <w:r w:rsidR="002E431B" w:rsidRPr="0075656B">
        <w:rPr>
          <w:rFonts w:ascii="Times New Roman" w:eastAsia="MS Gothic" w:hAnsi="Times New Roman"/>
          <w:sz w:val="16"/>
          <w:szCs w:val="16"/>
        </w:rPr>
        <w:t xml:space="preserve">в </w:t>
      </w:r>
      <w:r w:rsidR="006E3464" w:rsidRPr="0075656B">
        <w:rPr>
          <w:rFonts w:ascii="Times New Roman" w:eastAsia="MS Gothic" w:hAnsi="Times New Roman"/>
          <w:sz w:val="16"/>
          <w:szCs w:val="16"/>
        </w:rPr>
        <w:t xml:space="preserve">Приложении № </w:t>
      </w:r>
      <w:r w:rsidR="002E431B" w:rsidRPr="0075656B">
        <w:rPr>
          <w:rFonts w:ascii="Times New Roman" w:eastAsia="MS Gothic" w:hAnsi="Times New Roman"/>
          <w:sz w:val="16"/>
          <w:szCs w:val="16"/>
        </w:rPr>
        <w:t>2</w:t>
      </w:r>
      <w:r w:rsidR="00261522" w:rsidRPr="0075656B">
        <w:rPr>
          <w:rFonts w:ascii="Times New Roman" w:eastAsia="MS Gothic" w:hAnsi="Times New Roman"/>
          <w:sz w:val="16"/>
          <w:szCs w:val="16"/>
        </w:rPr>
        <w:t>.</w:t>
      </w:r>
      <w:r w:rsidR="00C120D9" w:rsidRPr="0075656B">
        <w:rPr>
          <w:rFonts w:ascii="Times New Roman" w:eastAsia="MS Gothic" w:hAnsi="Times New Roman"/>
          <w:sz w:val="16"/>
          <w:szCs w:val="16"/>
        </w:rPr>
        <w:t>1</w:t>
      </w:r>
      <w:r w:rsidR="006E3464" w:rsidRPr="0075656B">
        <w:rPr>
          <w:rFonts w:ascii="Times New Roman" w:eastAsia="MS Gothic" w:hAnsi="Times New Roman"/>
          <w:sz w:val="16"/>
          <w:szCs w:val="16"/>
        </w:rPr>
        <w:t xml:space="preserve"> к Регламенту</w:t>
      </w:r>
      <w:r w:rsidR="00BF6B9B" w:rsidRPr="0075656B">
        <w:rPr>
          <w:rFonts w:ascii="Times New Roman" w:eastAsia="MS Gothic" w:hAnsi="Times New Roman"/>
          <w:sz w:val="16"/>
          <w:szCs w:val="16"/>
        </w:rPr>
        <w:t xml:space="preserve"> </w:t>
      </w:r>
      <w:r w:rsidR="008B048B" w:rsidRPr="0075656B">
        <w:rPr>
          <w:rFonts w:ascii="Times New Roman" w:eastAsia="MS Gothic" w:hAnsi="Times New Roman"/>
          <w:sz w:val="16"/>
          <w:szCs w:val="16"/>
        </w:rPr>
        <w:t xml:space="preserve">брокерского обслуживания </w:t>
      </w:r>
      <w:r w:rsidR="006B136A">
        <w:rPr>
          <w:rFonts w:ascii="Times New Roman" w:eastAsia="MS Gothic" w:hAnsi="Times New Roman"/>
          <w:sz w:val="16"/>
          <w:szCs w:val="16"/>
        </w:rPr>
        <w:t>Акционерного общества «Инвестиционная компания «Горизонт»</w:t>
      </w:r>
      <w:r w:rsidR="00AF069C" w:rsidRPr="0075656B">
        <w:rPr>
          <w:rFonts w:ascii="Times New Roman" w:eastAsia="MS Gothic" w:hAnsi="Times New Roman"/>
          <w:sz w:val="16"/>
          <w:szCs w:val="16"/>
        </w:rPr>
        <w:t xml:space="preserve"> </w:t>
      </w:r>
      <w:r w:rsidR="0001185A" w:rsidRPr="0075656B">
        <w:rPr>
          <w:rFonts w:ascii="Times New Roman" w:eastAsia="MS Gothic" w:hAnsi="Times New Roman"/>
          <w:sz w:val="16"/>
          <w:szCs w:val="16"/>
        </w:rPr>
        <w:t xml:space="preserve">– Форма Договора о </w:t>
      </w:r>
      <w:r w:rsidR="008B048B" w:rsidRPr="0075656B">
        <w:rPr>
          <w:rFonts w:ascii="Times New Roman" w:eastAsia="MS Gothic" w:hAnsi="Times New Roman"/>
          <w:sz w:val="16"/>
          <w:szCs w:val="16"/>
        </w:rPr>
        <w:t>б</w:t>
      </w:r>
      <w:r w:rsidR="0001185A" w:rsidRPr="0075656B">
        <w:rPr>
          <w:rFonts w:ascii="Times New Roman" w:eastAsia="MS Gothic" w:hAnsi="Times New Roman"/>
          <w:sz w:val="16"/>
          <w:szCs w:val="16"/>
        </w:rPr>
        <w:t>рокерском обслуживании</w:t>
      </w:r>
    </w:p>
    <w:p w14:paraId="3B827217" w14:textId="3012AD7D" w:rsidR="0001185A" w:rsidRDefault="00802E57" w:rsidP="00E11D62">
      <w:pPr>
        <w:tabs>
          <w:tab w:val="left" w:pos="1134"/>
        </w:tabs>
        <w:spacing w:line="240" w:lineRule="auto"/>
        <w:ind w:left="426"/>
        <w:jc w:val="both"/>
        <w:rPr>
          <w:rFonts w:ascii="Times New Roman" w:eastAsia="MS Gothic" w:hAnsi="Times New Roman"/>
          <w:i/>
          <w:sz w:val="16"/>
          <w:szCs w:val="16"/>
        </w:rPr>
      </w:pPr>
      <w:sdt>
        <w:sdtPr>
          <w:rPr>
            <w:rFonts w:ascii="Times New Roman" w:eastAsia="MS Gothic" w:hAnsi="Times New Roman"/>
            <w:sz w:val="20"/>
            <w:szCs w:val="20"/>
          </w:rPr>
          <w:id w:val="-1347633928"/>
          <w14:checkbox>
            <w14:checked w14:val="0"/>
            <w14:checkedState w14:val="2612" w14:font="MS Gothic"/>
            <w14:uncheckedState w14:val="2610" w14:font="MS Gothic"/>
          </w14:checkbox>
        </w:sdtPr>
        <w:sdtEndPr/>
        <w:sdtContent>
          <w:r w:rsidR="00F167BA" w:rsidRPr="0075656B">
            <w:rPr>
              <w:rFonts w:ascii="Segoe UI Symbol" w:eastAsia="MS Gothic" w:hAnsi="Segoe UI Symbol" w:cs="Segoe UI Symbol"/>
              <w:sz w:val="20"/>
              <w:szCs w:val="20"/>
            </w:rPr>
            <w:t>☐</w:t>
          </w:r>
        </w:sdtContent>
      </w:sdt>
      <w:r w:rsidR="00F167BA" w:rsidRPr="0075656B" w:rsidDel="00F167BA">
        <w:rPr>
          <w:rFonts w:ascii="Times New Roman" w:eastAsia="MS Gothic" w:hAnsi="Times New Roman"/>
          <w:sz w:val="16"/>
          <w:szCs w:val="16"/>
        </w:rPr>
        <w:t xml:space="preserve"> </w:t>
      </w:r>
      <w:r w:rsidR="002E431B" w:rsidRPr="0075656B">
        <w:rPr>
          <w:rFonts w:ascii="Times New Roman" w:eastAsia="MS Gothic" w:hAnsi="Times New Roman"/>
          <w:sz w:val="16"/>
          <w:szCs w:val="16"/>
        </w:rPr>
        <w:t xml:space="preserve">в </w:t>
      </w:r>
      <w:r w:rsidR="0001185A" w:rsidRPr="0075656B">
        <w:rPr>
          <w:rFonts w:ascii="Times New Roman" w:eastAsia="MS Gothic" w:hAnsi="Times New Roman"/>
          <w:sz w:val="16"/>
          <w:szCs w:val="16"/>
        </w:rPr>
        <w:t xml:space="preserve">Приложении № </w:t>
      </w:r>
      <w:r w:rsidR="00C120D9" w:rsidRPr="0075656B">
        <w:rPr>
          <w:rFonts w:ascii="Times New Roman" w:eastAsia="MS Gothic" w:hAnsi="Times New Roman"/>
          <w:sz w:val="16"/>
          <w:szCs w:val="16"/>
        </w:rPr>
        <w:t>2</w:t>
      </w:r>
      <w:r w:rsidR="00261522" w:rsidRPr="0075656B">
        <w:rPr>
          <w:rFonts w:ascii="Times New Roman" w:eastAsia="MS Gothic" w:hAnsi="Times New Roman"/>
          <w:sz w:val="16"/>
          <w:szCs w:val="16"/>
        </w:rPr>
        <w:t>.</w:t>
      </w:r>
      <w:r w:rsidR="00C120D9" w:rsidRPr="0075656B">
        <w:rPr>
          <w:rFonts w:ascii="Times New Roman" w:eastAsia="MS Gothic" w:hAnsi="Times New Roman"/>
          <w:sz w:val="16"/>
          <w:szCs w:val="16"/>
        </w:rPr>
        <w:t>2</w:t>
      </w:r>
      <w:r w:rsidR="0001185A" w:rsidRPr="0075656B">
        <w:rPr>
          <w:rFonts w:ascii="Times New Roman" w:eastAsia="MS Gothic" w:hAnsi="Times New Roman"/>
          <w:sz w:val="16"/>
          <w:szCs w:val="16"/>
        </w:rPr>
        <w:t xml:space="preserve"> к Регламенту </w:t>
      </w:r>
      <w:r w:rsidR="008B048B" w:rsidRPr="0075656B">
        <w:rPr>
          <w:rFonts w:ascii="Times New Roman" w:eastAsia="MS Gothic" w:hAnsi="Times New Roman"/>
          <w:sz w:val="16"/>
          <w:szCs w:val="16"/>
        </w:rPr>
        <w:t xml:space="preserve">брокерского обслуживания </w:t>
      </w:r>
      <w:r w:rsidR="006B136A">
        <w:rPr>
          <w:rFonts w:ascii="Times New Roman" w:eastAsia="MS Gothic" w:hAnsi="Times New Roman"/>
          <w:sz w:val="16"/>
          <w:szCs w:val="16"/>
        </w:rPr>
        <w:t>Акционерного общества «Инвестиционная компания «Горизонт»</w:t>
      </w:r>
      <w:r w:rsidR="0001185A" w:rsidRPr="0075656B">
        <w:rPr>
          <w:rFonts w:ascii="Times New Roman" w:eastAsia="MS Gothic" w:hAnsi="Times New Roman"/>
          <w:sz w:val="16"/>
          <w:szCs w:val="16"/>
        </w:rPr>
        <w:t xml:space="preserve"> – Форма Договора о </w:t>
      </w:r>
      <w:r w:rsidR="008B048B" w:rsidRPr="0075656B">
        <w:rPr>
          <w:rFonts w:ascii="Times New Roman" w:eastAsia="MS Gothic" w:hAnsi="Times New Roman"/>
          <w:sz w:val="16"/>
          <w:szCs w:val="16"/>
        </w:rPr>
        <w:t>б</w:t>
      </w:r>
      <w:r w:rsidR="0001185A" w:rsidRPr="0075656B">
        <w:rPr>
          <w:rFonts w:ascii="Times New Roman" w:eastAsia="MS Gothic" w:hAnsi="Times New Roman"/>
          <w:sz w:val="16"/>
          <w:szCs w:val="16"/>
        </w:rPr>
        <w:t xml:space="preserve">рокерском обслуживании, предусматривающего ведение индивидуального инвестиционного счета </w:t>
      </w:r>
      <w:r w:rsidR="00885F3B" w:rsidRPr="00885F3B">
        <w:rPr>
          <w:rFonts w:ascii="Times New Roman" w:eastAsia="MS Gothic" w:hAnsi="Times New Roman"/>
          <w:sz w:val="16"/>
          <w:szCs w:val="16"/>
        </w:rPr>
        <w:t xml:space="preserve">(заключается только при прекращении договора на ведение индивидуального инвестиционного счета, заключенного в период с 01.01.2015 по 31.12.2023 включительно, с переводом всех активов, учитываемых на индивидуальном инвестиционном счете, на другой индивидуальный инвестиционный счет) </w:t>
      </w:r>
      <w:r w:rsidR="0001185A" w:rsidRPr="0075656B">
        <w:rPr>
          <w:rFonts w:ascii="Times New Roman" w:eastAsia="MS Gothic" w:hAnsi="Times New Roman"/>
          <w:i/>
          <w:sz w:val="16"/>
          <w:szCs w:val="16"/>
        </w:rPr>
        <w:t>(только для физических лиц)</w:t>
      </w:r>
    </w:p>
    <w:p w14:paraId="3F109AB1" w14:textId="68CA5C47" w:rsidR="00885F3B" w:rsidRPr="0075656B" w:rsidRDefault="00802E57" w:rsidP="00E11D62">
      <w:pPr>
        <w:tabs>
          <w:tab w:val="left" w:pos="1134"/>
        </w:tabs>
        <w:spacing w:line="240" w:lineRule="auto"/>
        <w:ind w:left="426"/>
        <w:jc w:val="both"/>
        <w:rPr>
          <w:rFonts w:ascii="Times New Roman" w:eastAsia="MS Gothic" w:hAnsi="Times New Roman"/>
          <w:sz w:val="16"/>
          <w:szCs w:val="16"/>
        </w:rPr>
      </w:pPr>
      <w:sdt>
        <w:sdtPr>
          <w:rPr>
            <w:rFonts w:ascii="Times New Roman" w:eastAsia="MS Gothic" w:hAnsi="Times New Roman"/>
            <w:sz w:val="20"/>
            <w:szCs w:val="20"/>
          </w:rPr>
          <w:id w:val="1636673641"/>
          <w14:checkbox>
            <w14:checked w14:val="0"/>
            <w14:checkedState w14:val="2612" w14:font="MS Gothic"/>
            <w14:uncheckedState w14:val="2610" w14:font="MS Gothic"/>
          </w14:checkbox>
        </w:sdtPr>
        <w:sdtEndPr/>
        <w:sdtContent>
          <w:r w:rsidR="00885F3B" w:rsidRPr="0075656B">
            <w:rPr>
              <w:rFonts w:ascii="Segoe UI Symbol" w:eastAsia="MS Gothic" w:hAnsi="Segoe UI Symbol" w:cs="Segoe UI Symbol"/>
              <w:sz w:val="20"/>
              <w:szCs w:val="20"/>
            </w:rPr>
            <w:t>☐</w:t>
          </w:r>
        </w:sdtContent>
      </w:sdt>
      <w:r w:rsidR="00885F3B" w:rsidRPr="0075656B" w:rsidDel="00F167BA">
        <w:rPr>
          <w:rFonts w:ascii="Times New Roman" w:eastAsia="MS Gothic" w:hAnsi="Times New Roman"/>
          <w:sz w:val="16"/>
          <w:szCs w:val="16"/>
        </w:rPr>
        <w:t xml:space="preserve"> </w:t>
      </w:r>
      <w:r w:rsidR="00885F3B" w:rsidRPr="00885F3B">
        <w:rPr>
          <w:rFonts w:ascii="Times New Roman" w:eastAsia="MS Gothic" w:hAnsi="Times New Roman"/>
          <w:sz w:val="16"/>
          <w:szCs w:val="16"/>
        </w:rPr>
        <w:t>в Приложении № 2</w:t>
      </w:r>
      <w:r w:rsidR="00885F3B">
        <w:rPr>
          <w:rFonts w:ascii="Times New Roman" w:eastAsia="MS Gothic" w:hAnsi="Times New Roman"/>
          <w:sz w:val="16"/>
          <w:szCs w:val="16"/>
        </w:rPr>
        <w:t>.2.1</w:t>
      </w:r>
      <w:r w:rsidR="00885F3B" w:rsidRPr="00885F3B">
        <w:rPr>
          <w:rFonts w:ascii="Times New Roman" w:eastAsia="MS Gothic" w:hAnsi="Times New Roman"/>
          <w:sz w:val="16"/>
          <w:szCs w:val="16"/>
        </w:rPr>
        <w:t xml:space="preserve"> к Регламенту </w:t>
      </w:r>
      <w:r w:rsidR="00885F3B" w:rsidRPr="0075656B">
        <w:rPr>
          <w:rFonts w:ascii="Times New Roman" w:eastAsia="MS Gothic" w:hAnsi="Times New Roman"/>
          <w:sz w:val="16"/>
          <w:szCs w:val="16"/>
        </w:rPr>
        <w:t xml:space="preserve">брокерского обслуживания </w:t>
      </w:r>
      <w:r w:rsidR="006B136A">
        <w:rPr>
          <w:rFonts w:ascii="Times New Roman" w:eastAsia="MS Gothic" w:hAnsi="Times New Roman"/>
          <w:sz w:val="16"/>
          <w:szCs w:val="16"/>
        </w:rPr>
        <w:t>Акционерного общества «Инвестиционная компания «Горизонт»</w:t>
      </w:r>
      <w:r w:rsidR="00885F3B" w:rsidRPr="00885F3B">
        <w:rPr>
          <w:rFonts w:ascii="Times New Roman" w:eastAsia="MS Gothic" w:hAnsi="Times New Roman"/>
          <w:sz w:val="16"/>
          <w:szCs w:val="16"/>
        </w:rPr>
        <w:t xml:space="preserve">– Форма Договора о </w:t>
      </w:r>
      <w:r w:rsidR="00885F3B">
        <w:rPr>
          <w:rFonts w:ascii="Times New Roman" w:eastAsia="MS Gothic" w:hAnsi="Times New Roman"/>
          <w:sz w:val="16"/>
          <w:szCs w:val="16"/>
        </w:rPr>
        <w:t>б</w:t>
      </w:r>
      <w:r w:rsidR="00885F3B" w:rsidRPr="00885F3B">
        <w:rPr>
          <w:rFonts w:ascii="Times New Roman" w:eastAsia="MS Gothic" w:hAnsi="Times New Roman"/>
          <w:sz w:val="16"/>
          <w:szCs w:val="16"/>
        </w:rPr>
        <w:t xml:space="preserve">рокерском обслуживании, предусматривающего ведение индивидуального инвестиционного счета, открытого начиная с 01.01.2024 </w:t>
      </w:r>
      <w:r w:rsidR="00885F3B" w:rsidRPr="008A5BC4">
        <w:rPr>
          <w:rFonts w:ascii="Times New Roman" w:eastAsia="MS Gothic" w:hAnsi="Times New Roman"/>
          <w:i/>
          <w:sz w:val="16"/>
          <w:szCs w:val="16"/>
        </w:rPr>
        <w:t>(только для физических лиц)</w:t>
      </w:r>
    </w:p>
    <w:p w14:paraId="165F9D65" w14:textId="2B8CBCA1" w:rsidR="0001185A" w:rsidRPr="0075656B" w:rsidRDefault="00802E57" w:rsidP="00E11D62">
      <w:pPr>
        <w:tabs>
          <w:tab w:val="left" w:pos="1134"/>
        </w:tabs>
        <w:spacing w:line="240" w:lineRule="auto"/>
        <w:ind w:left="426"/>
        <w:jc w:val="both"/>
        <w:rPr>
          <w:rFonts w:ascii="Times New Roman" w:eastAsia="MS Gothic" w:hAnsi="Times New Roman"/>
          <w:i/>
          <w:sz w:val="16"/>
          <w:szCs w:val="16"/>
        </w:rPr>
      </w:pPr>
      <w:sdt>
        <w:sdtPr>
          <w:rPr>
            <w:rFonts w:ascii="Times New Roman" w:eastAsia="MS Gothic" w:hAnsi="Times New Roman"/>
            <w:sz w:val="20"/>
            <w:szCs w:val="20"/>
          </w:rPr>
          <w:id w:val="878212989"/>
          <w14:checkbox>
            <w14:checked w14:val="0"/>
            <w14:checkedState w14:val="2612" w14:font="MS Gothic"/>
            <w14:uncheckedState w14:val="2610" w14:font="MS Gothic"/>
          </w14:checkbox>
        </w:sdtPr>
        <w:sdtEndPr/>
        <w:sdtContent>
          <w:r w:rsidR="00F167BA" w:rsidRPr="0075656B">
            <w:rPr>
              <w:rFonts w:ascii="Segoe UI Symbol" w:eastAsia="MS Gothic" w:hAnsi="Segoe UI Symbol" w:cs="Segoe UI Symbol"/>
              <w:sz w:val="20"/>
              <w:szCs w:val="20"/>
            </w:rPr>
            <w:t>☐</w:t>
          </w:r>
        </w:sdtContent>
      </w:sdt>
      <w:r w:rsidR="00F167BA" w:rsidRPr="0075656B" w:rsidDel="00F167BA">
        <w:rPr>
          <w:rFonts w:ascii="Times New Roman" w:eastAsia="MS Gothic" w:hAnsi="Times New Roman"/>
          <w:sz w:val="16"/>
          <w:szCs w:val="16"/>
        </w:rPr>
        <w:t xml:space="preserve"> </w:t>
      </w:r>
      <w:r w:rsidR="002E431B" w:rsidRPr="0075656B">
        <w:rPr>
          <w:rFonts w:ascii="Times New Roman" w:eastAsia="MS Gothic" w:hAnsi="Times New Roman"/>
          <w:sz w:val="16"/>
          <w:szCs w:val="16"/>
        </w:rPr>
        <w:t xml:space="preserve">в </w:t>
      </w:r>
      <w:r w:rsidR="0001185A" w:rsidRPr="0075656B">
        <w:rPr>
          <w:rFonts w:ascii="Times New Roman" w:eastAsia="MS Gothic" w:hAnsi="Times New Roman"/>
          <w:sz w:val="16"/>
          <w:szCs w:val="16"/>
        </w:rPr>
        <w:t xml:space="preserve">Приложении № </w:t>
      </w:r>
      <w:r w:rsidR="00C120D9" w:rsidRPr="0075656B">
        <w:rPr>
          <w:rFonts w:ascii="Times New Roman" w:eastAsia="MS Gothic" w:hAnsi="Times New Roman"/>
          <w:sz w:val="16"/>
          <w:szCs w:val="16"/>
        </w:rPr>
        <w:t>2</w:t>
      </w:r>
      <w:r w:rsidR="00261522" w:rsidRPr="0075656B">
        <w:rPr>
          <w:rFonts w:ascii="Times New Roman" w:eastAsia="MS Gothic" w:hAnsi="Times New Roman"/>
          <w:sz w:val="16"/>
          <w:szCs w:val="16"/>
        </w:rPr>
        <w:t>.</w:t>
      </w:r>
      <w:r w:rsidR="00C120D9" w:rsidRPr="0075656B">
        <w:rPr>
          <w:rFonts w:ascii="Times New Roman" w:eastAsia="MS Gothic" w:hAnsi="Times New Roman"/>
          <w:sz w:val="16"/>
          <w:szCs w:val="16"/>
        </w:rPr>
        <w:t>3</w:t>
      </w:r>
      <w:r w:rsidR="0001185A" w:rsidRPr="0075656B">
        <w:rPr>
          <w:rFonts w:ascii="Times New Roman" w:eastAsia="MS Gothic" w:hAnsi="Times New Roman"/>
          <w:sz w:val="16"/>
          <w:szCs w:val="16"/>
        </w:rPr>
        <w:t xml:space="preserve"> к Регламенту </w:t>
      </w:r>
      <w:r w:rsidR="008B048B" w:rsidRPr="0075656B">
        <w:rPr>
          <w:rFonts w:ascii="Times New Roman" w:eastAsia="MS Gothic" w:hAnsi="Times New Roman"/>
          <w:sz w:val="16"/>
          <w:szCs w:val="16"/>
        </w:rPr>
        <w:t xml:space="preserve">брокерского обслуживания </w:t>
      </w:r>
      <w:r w:rsidR="006B136A">
        <w:rPr>
          <w:rFonts w:ascii="Times New Roman" w:eastAsia="MS Gothic" w:hAnsi="Times New Roman"/>
          <w:sz w:val="16"/>
          <w:szCs w:val="16"/>
        </w:rPr>
        <w:t>Акционерного общества «Инвестиционная компания «Горизонт»</w:t>
      </w:r>
      <w:r w:rsidR="0001185A" w:rsidRPr="0075656B">
        <w:rPr>
          <w:rFonts w:ascii="Times New Roman" w:eastAsia="MS Gothic" w:hAnsi="Times New Roman"/>
          <w:sz w:val="16"/>
          <w:szCs w:val="16"/>
        </w:rPr>
        <w:t xml:space="preserve"> – Форма Договора о </w:t>
      </w:r>
      <w:r w:rsidR="008B048B" w:rsidRPr="0075656B">
        <w:rPr>
          <w:rFonts w:ascii="Times New Roman" w:eastAsia="MS Gothic" w:hAnsi="Times New Roman"/>
          <w:sz w:val="16"/>
          <w:szCs w:val="16"/>
        </w:rPr>
        <w:t>б</w:t>
      </w:r>
      <w:r w:rsidR="0001185A" w:rsidRPr="0075656B">
        <w:rPr>
          <w:rFonts w:ascii="Times New Roman" w:eastAsia="MS Gothic" w:hAnsi="Times New Roman"/>
          <w:sz w:val="16"/>
          <w:szCs w:val="16"/>
        </w:rPr>
        <w:t>рокерском обслуживании (</w:t>
      </w:r>
      <w:proofErr w:type="spellStart"/>
      <w:r w:rsidR="002E431B" w:rsidRPr="0075656B">
        <w:rPr>
          <w:rFonts w:ascii="Times New Roman" w:eastAsia="MS Gothic" w:hAnsi="Times New Roman"/>
          <w:sz w:val="16"/>
          <w:szCs w:val="16"/>
        </w:rPr>
        <w:t>субброкерского</w:t>
      </w:r>
      <w:proofErr w:type="spellEnd"/>
      <w:r w:rsidR="002E431B" w:rsidRPr="0075656B">
        <w:rPr>
          <w:rFonts w:ascii="Times New Roman" w:eastAsia="MS Gothic" w:hAnsi="Times New Roman"/>
          <w:sz w:val="16"/>
          <w:szCs w:val="16"/>
        </w:rPr>
        <w:t xml:space="preserve"> договора</w:t>
      </w:r>
      <w:r w:rsidR="0001185A" w:rsidRPr="0075656B">
        <w:rPr>
          <w:rFonts w:ascii="Times New Roman" w:eastAsia="MS Gothic" w:hAnsi="Times New Roman"/>
          <w:sz w:val="16"/>
          <w:szCs w:val="16"/>
        </w:rPr>
        <w:t>)</w:t>
      </w:r>
      <w:r w:rsidR="002E431B" w:rsidRPr="0075656B">
        <w:rPr>
          <w:rFonts w:ascii="Times New Roman" w:eastAsia="MS Gothic" w:hAnsi="Times New Roman"/>
          <w:sz w:val="16"/>
          <w:szCs w:val="16"/>
        </w:rPr>
        <w:t xml:space="preserve"> </w:t>
      </w:r>
      <w:r w:rsidR="002E431B" w:rsidRPr="0075656B">
        <w:rPr>
          <w:rFonts w:ascii="Times New Roman" w:eastAsia="MS Gothic" w:hAnsi="Times New Roman"/>
          <w:i/>
          <w:sz w:val="16"/>
          <w:szCs w:val="16"/>
        </w:rPr>
        <w:t>(только для профессиональных участников рынка ценных бумаг, осуществляющих брокерскую деятельность, намеренных исполнять поручения своих клиентов на совершение гражданско-правовых сделок с ценными бумагами, используя услуги Компании)</w:t>
      </w:r>
    </w:p>
    <w:p w14:paraId="6D25F8A4" w14:textId="751463FF" w:rsidR="00D952EC" w:rsidRPr="0075656B" w:rsidRDefault="00802E57" w:rsidP="00D952EC">
      <w:pPr>
        <w:tabs>
          <w:tab w:val="left" w:pos="1134"/>
        </w:tabs>
        <w:spacing w:line="240" w:lineRule="auto"/>
        <w:ind w:left="426"/>
        <w:jc w:val="both"/>
        <w:rPr>
          <w:rFonts w:ascii="Times New Roman" w:eastAsia="MS Gothic" w:hAnsi="Times New Roman"/>
          <w:i/>
          <w:sz w:val="16"/>
          <w:szCs w:val="16"/>
        </w:rPr>
      </w:pPr>
      <w:sdt>
        <w:sdtPr>
          <w:rPr>
            <w:rFonts w:ascii="Times New Roman" w:eastAsia="MS Gothic" w:hAnsi="Times New Roman"/>
            <w:sz w:val="20"/>
            <w:szCs w:val="20"/>
          </w:rPr>
          <w:id w:val="-238491693"/>
          <w14:checkbox>
            <w14:checked w14:val="0"/>
            <w14:checkedState w14:val="2612" w14:font="MS Gothic"/>
            <w14:uncheckedState w14:val="2610" w14:font="MS Gothic"/>
          </w14:checkbox>
        </w:sdtPr>
        <w:sdtEndPr/>
        <w:sdtContent>
          <w:r w:rsidR="00AF069C" w:rsidRPr="0075656B">
            <w:rPr>
              <w:rFonts w:ascii="Segoe UI Symbol" w:eastAsia="MS Gothic" w:hAnsi="Segoe UI Symbol" w:cs="Segoe UI Symbol"/>
              <w:sz w:val="20"/>
              <w:szCs w:val="20"/>
            </w:rPr>
            <w:t>☐</w:t>
          </w:r>
        </w:sdtContent>
      </w:sdt>
      <w:r w:rsidR="00D952EC" w:rsidRPr="0075656B" w:rsidDel="00F167BA">
        <w:rPr>
          <w:rFonts w:ascii="Times New Roman" w:eastAsia="MS Gothic" w:hAnsi="Times New Roman"/>
          <w:sz w:val="16"/>
          <w:szCs w:val="16"/>
        </w:rPr>
        <w:t xml:space="preserve"> </w:t>
      </w:r>
      <w:r w:rsidR="00D952EC" w:rsidRPr="0075656B">
        <w:rPr>
          <w:rFonts w:ascii="Times New Roman" w:eastAsia="MS Gothic" w:hAnsi="Times New Roman"/>
          <w:sz w:val="16"/>
          <w:szCs w:val="16"/>
        </w:rPr>
        <w:t>в Приложении № 2</w:t>
      </w:r>
      <w:r w:rsidR="00261522" w:rsidRPr="0075656B">
        <w:rPr>
          <w:rFonts w:ascii="Times New Roman" w:eastAsia="MS Gothic" w:hAnsi="Times New Roman"/>
          <w:sz w:val="16"/>
          <w:szCs w:val="16"/>
        </w:rPr>
        <w:t>.</w:t>
      </w:r>
      <w:r w:rsidR="00D952EC" w:rsidRPr="0075656B">
        <w:rPr>
          <w:rFonts w:ascii="Times New Roman" w:eastAsia="MS Gothic" w:hAnsi="Times New Roman"/>
          <w:sz w:val="16"/>
          <w:szCs w:val="16"/>
        </w:rPr>
        <w:t xml:space="preserve">4 к Регламенту </w:t>
      </w:r>
      <w:r w:rsidR="008B048B" w:rsidRPr="0075656B">
        <w:rPr>
          <w:rFonts w:ascii="Times New Roman" w:eastAsia="MS Gothic" w:hAnsi="Times New Roman"/>
          <w:sz w:val="16"/>
          <w:szCs w:val="16"/>
        </w:rPr>
        <w:t xml:space="preserve">брокерского обслуживания </w:t>
      </w:r>
      <w:r w:rsidR="006B136A">
        <w:rPr>
          <w:rFonts w:ascii="Times New Roman" w:eastAsia="MS Gothic" w:hAnsi="Times New Roman"/>
          <w:sz w:val="16"/>
          <w:szCs w:val="16"/>
        </w:rPr>
        <w:t>Акционерного общества «Инвестиционная компания «Горизонт»</w:t>
      </w:r>
      <w:r w:rsidR="00D952EC" w:rsidRPr="0075656B">
        <w:rPr>
          <w:rFonts w:ascii="Times New Roman" w:eastAsia="MS Gothic" w:hAnsi="Times New Roman"/>
          <w:sz w:val="16"/>
          <w:szCs w:val="16"/>
        </w:rPr>
        <w:t xml:space="preserve"> – Форма Договора о </w:t>
      </w:r>
      <w:r w:rsidR="003F4B51" w:rsidRPr="0075656B">
        <w:rPr>
          <w:rFonts w:ascii="Times New Roman" w:eastAsia="MS Gothic" w:hAnsi="Times New Roman"/>
          <w:sz w:val="16"/>
          <w:szCs w:val="16"/>
        </w:rPr>
        <w:t>б</w:t>
      </w:r>
      <w:r w:rsidR="00D952EC" w:rsidRPr="0075656B">
        <w:rPr>
          <w:rFonts w:ascii="Times New Roman" w:eastAsia="MS Gothic" w:hAnsi="Times New Roman"/>
          <w:sz w:val="16"/>
          <w:szCs w:val="16"/>
        </w:rPr>
        <w:t>рокерском обслуживании (</w:t>
      </w:r>
      <w:proofErr w:type="spellStart"/>
      <w:r w:rsidR="00D952EC" w:rsidRPr="0075656B">
        <w:rPr>
          <w:rFonts w:ascii="Times New Roman" w:eastAsia="MS Gothic" w:hAnsi="Times New Roman"/>
          <w:sz w:val="16"/>
          <w:szCs w:val="16"/>
        </w:rPr>
        <w:t>субброкерского</w:t>
      </w:r>
      <w:proofErr w:type="spellEnd"/>
      <w:r w:rsidR="00D952EC" w:rsidRPr="0075656B">
        <w:rPr>
          <w:rFonts w:ascii="Times New Roman" w:eastAsia="MS Gothic" w:hAnsi="Times New Roman"/>
          <w:sz w:val="16"/>
          <w:szCs w:val="16"/>
        </w:rPr>
        <w:t xml:space="preserve"> договора с условием открытия индивидуального счета внутреннего учета) </w:t>
      </w:r>
      <w:r w:rsidR="00D952EC" w:rsidRPr="0075656B">
        <w:rPr>
          <w:rFonts w:ascii="Times New Roman" w:eastAsia="MS Gothic" w:hAnsi="Times New Roman"/>
          <w:i/>
          <w:sz w:val="16"/>
          <w:szCs w:val="16"/>
        </w:rPr>
        <w:t>(только для профессиональных участников рынка ценных бумаг, осуществляющих брокерскую деятельность, намеренных исполнять поручения своих клиентов на совершение гражданско-правовых сделок с ценными бумагами, используя услуги Компании</w:t>
      </w:r>
      <w:r w:rsidR="005272D0" w:rsidRPr="0075656B">
        <w:rPr>
          <w:rFonts w:ascii="Times New Roman" w:eastAsia="MS Gothic" w:hAnsi="Times New Roman"/>
          <w:i/>
          <w:sz w:val="16"/>
          <w:szCs w:val="16"/>
        </w:rPr>
        <w:t>, при этом клиент</w:t>
      </w:r>
      <w:r w:rsidR="00C50046" w:rsidRPr="0075656B">
        <w:rPr>
          <w:rFonts w:ascii="Times New Roman" w:eastAsia="MS Gothic" w:hAnsi="Times New Roman"/>
          <w:i/>
          <w:sz w:val="16"/>
          <w:szCs w:val="16"/>
        </w:rPr>
        <w:t>ам</w:t>
      </w:r>
      <w:r w:rsidR="00D952EC" w:rsidRPr="0075656B">
        <w:rPr>
          <w:rFonts w:ascii="Times New Roman" w:eastAsia="MS Gothic" w:hAnsi="Times New Roman"/>
          <w:i/>
          <w:sz w:val="16"/>
          <w:szCs w:val="16"/>
        </w:rPr>
        <w:t xml:space="preserve"> </w:t>
      </w:r>
      <w:proofErr w:type="spellStart"/>
      <w:r w:rsidR="00D952EC" w:rsidRPr="0075656B">
        <w:rPr>
          <w:rFonts w:ascii="Times New Roman" w:eastAsia="MS Gothic" w:hAnsi="Times New Roman"/>
          <w:i/>
          <w:sz w:val="16"/>
          <w:szCs w:val="16"/>
        </w:rPr>
        <w:t>субброкера</w:t>
      </w:r>
      <w:proofErr w:type="spellEnd"/>
      <w:r w:rsidR="00D952EC" w:rsidRPr="0075656B">
        <w:rPr>
          <w:rFonts w:ascii="Times New Roman" w:eastAsia="MS Gothic" w:hAnsi="Times New Roman"/>
          <w:i/>
          <w:sz w:val="16"/>
          <w:szCs w:val="16"/>
        </w:rPr>
        <w:t xml:space="preserve"> открываются индивидуальные счета внутреннего учета)</w:t>
      </w:r>
    </w:p>
    <w:p w14:paraId="64C09A52" w14:textId="6A01CF99" w:rsidR="00BF6B9B" w:rsidRPr="0075656B" w:rsidRDefault="004C06FB" w:rsidP="00E11D62">
      <w:pPr>
        <w:tabs>
          <w:tab w:val="left" w:pos="1134"/>
        </w:tabs>
        <w:spacing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С даты </w:t>
      </w:r>
      <w:r w:rsidR="00C120D9" w:rsidRPr="0075656B">
        <w:rPr>
          <w:rFonts w:ascii="Times New Roman" w:eastAsia="MS Gothic" w:hAnsi="Times New Roman"/>
          <w:sz w:val="16"/>
          <w:szCs w:val="16"/>
        </w:rPr>
        <w:t xml:space="preserve">заключения </w:t>
      </w:r>
      <w:r w:rsidRPr="0075656B">
        <w:rPr>
          <w:rFonts w:ascii="Times New Roman" w:eastAsia="MS Gothic" w:hAnsi="Times New Roman"/>
          <w:sz w:val="16"/>
          <w:szCs w:val="16"/>
        </w:rPr>
        <w:t xml:space="preserve">Договора о брокерском обслуживании, заключаемого на основании настоящего Заявления, </w:t>
      </w:r>
      <w:r w:rsidR="00BF6B9B" w:rsidRPr="0075656B">
        <w:rPr>
          <w:rFonts w:ascii="Times New Roman" w:eastAsia="MS Gothic" w:hAnsi="Times New Roman"/>
          <w:sz w:val="16"/>
          <w:szCs w:val="16"/>
        </w:rPr>
        <w:t xml:space="preserve">принимаю на себя права и обязанности Клиента, как они описаны </w:t>
      </w:r>
      <w:r w:rsidR="00001E0F" w:rsidRPr="0075656B">
        <w:rPr>
          <w:rFonts w:ascii="Times New Roman" w:eastAsia="MS Gothic" w:hAnsi="Times New Roman"/>
          <w:sz w:val="16"/>
          <w:szCs w:val="16"/>
        </w:rPr>
        <w:t>в Регламенте</w:t>
      </w:r>
      <w:r w:rsidR="00AF069C" w:rsidRPr="0075656B">
        <w:rPr>
          <w:rFonts w:ascii="Times New Roman" w:eastAsia="MS Gothic" w:hAnsi="Times New Roman"/>
          <w:sz w:val="16"/>
          <w:szCs w:val="16"/>
        </w:rPr>
        <w:t xml:space="preserve"> </w:t>
      </w:r>
      <w:r w:rsidR="008B048B" w:rsidRPr="0075656B">
        <w:rPr>
          <w:rFonts w:ascii="Times New Roman" w:eastAsia="MS Gothic" w:hAnsi="Times New Roman"/>
          <w:sz w:val="16"/>
          <w:szCs w:val="16"/>
        </w:rPr>
        <w:t xml:space="preserve">брокерского обслуживания </w:t>
      </w:r>
      <w:r w:rsidR="007A77D2">
        <w:rPr>
          <w:rFonts w:ascii="Times New Roman" w:eastAsia="MS Gothic" w:hAnsi="Times New Roman"/>
          <w:sz w:val="16"/>
          <w:szCs w:val="16"/>
        </w:rPr>
        <w:t>Акционерного общества «Инвестиционная компания «Горизонт»</w:t>
      </w:r>
      <w:r w:rsidR="007A77D2" w:rsidRPr="0075656B">
        <w:rPr>
          <w:rFonts w:ascii="Times New Roman" w:eastAsia="MS Gothic" w:hAnsi="Times New Roman"/>
          <w:sz w:val="16"/>
          <w:szCs w:val="16"/>
        </w:rPr>
        <w:t xml:space="preserve"> </w:t>
      </w:r>
      <w:r w:rsidR="00AF069C" w:rsidRPr="0075656B">
        <w:rPr>
          <w:rFonts w:ascii="Times New Roman" w:eastAsia="MS Gothic" w:hAnsi="Times New Roman"/>
          <w:sz w:val="16"/>
          <w:szCs w:val="16"/>
        </w:rPr>
        <w:t xml:space="preserve"> (далее – Регламент </w:t>
      </w:r>
      <w:r w:rsidR="008B048B" w:rsidRPr="0075656B">
        <w:rPr>
          <w:rFonts w:ascii="Times New Roman" w:eastAsia="MS Gothic" w:hAnsi="Times New Roman"/>
          <w:sz w:val="16"/>
          <w:szCs w:val="16"/>
        </w:rPr>
        <w:t>брокерского обслуживания</w:t>
      </w:r>
      <w:r w:rsidR="00AF069C" w:rsidRPr="0075656B">
        <w:rPr>
          <w:rFonts w:ascii="Times New Roman" w:eastAsia="MS Gothic" w:hAnsi="Times New Roman"/>
          <w:sz w:val="16"/>
          <w:szCs w:val="16"/>
        </w:rPr>
        <w:t xml:space="preserve">) в целом, и </w:t>
      </w:r>
      <w:r w:rsidR="00BF6B9B" w:rsidRPr="0075656B">
        <w:rPr>
          <w:rFonts w:ascii="Times New Roman" w:eastAsia="MS Gothic" w:hAnsi="Times New Roman"/>
          <w:sz w:val="16"/>
          <w:szCs w:val="16"/>
        </w:rPr>
        <w:t>в Приложении</w:t>
      </w:r>
      <w:r w:rsidR="0001185A" w:rsidRPr="0075656B">
        <w:rPr>
          <w:rFonts w:ascii="Times New Roman" w:eastAsia="MS Gothic" w:hAnsi="Times New Roman"/>
          <w:sz w:val="16"/>
          <w:szCs w:val="16"/>
        </w:rPr>
        <w:t>, отметка о выборе которого содержится выше,</w:t>
      </w:r>
      <w:r w:rsidR="007D2F9B" w:rsidRPr="0075656B">
        <w:rPr>
          <w:rFonts w:ascii="Times New Roman" w:eastAsia="MS Gothic" w:hAnsi="Times New Roman"/>
          <w:sz w:val="16"/>
          <w:szCs w:val="16"/>
        </w:rPr>
        <w:t xml:space="preserve"> </w:t>
      </w:r>
      <w:r w:rsidR="00AF069C" w:rsidRPr="0075656B">
        <w:rPr>
          <w:rFonts w:ascii="Times New Roman" w:eastAsia="MS Gothic" w:hAnsi="Times New Roman"/>
          <w:sz w:val="16"/>
          <w:szCs w:val="16"/>
        </w:rPr>
        <w:t>в частности</w:t>
      </w:r>
      <w:r w:rsidR="007D2F9B" w:rsidRPr="0075656B">
        <w:rPr>
          <w:rFonts w:ascii="Times New Roman" w:eastAsia="MS Gothic" w:hAnsi="Times New Roman"/>
          <w:sz w:val="16"/>
          <w:szCs w:val="16"/>
        </w:rPr>
        <w:t>.</w:t>
      </w:r>
    </w:p>
    <w:p w14:paraId="40CDD891" w14:textId="77777777" w:rsidR="00A60228" w:rsidRPr="0075656B" w:rsidRDefault="0062353E" w:rsidP="00E11D62">
      <w:pPr>
        <w:tabs>
          <w:tab w:val="left" w:pos="1134"/>
        </w:tabs>
        <w:spacing w:line="240" w:lineRule="auto"/>
        <w:jc w:val="both"/>
        <w:rPr>
          <w:rFonts w:ascii="Times New Roman" w:eastAsia="MS Gothic" w:hAnsi="Times New Roman"/>
          <w:sz w:val="16"/>
          <w:szCs w:val="16"/>
        </w:rPr>
      </w:pPr>
      <w:r w:rsidRPr="0075656B">
        <w:rPr>
          <w:rFonts w:ascii="Times New Roman" w:eastAsia="MS Gothic" w:hAnsi="Times New Roman"/>
          <w:sz w:val="16"/>
          <w:szCs w:val="16"/>
        </w:rPr>
        <w:t>Подписание</w:t>
      </w:r>
      <w:r w:rsidR="00FB10A7" w:rsidRPr="0075656B">
        <w:rPr>
          <w:rFonts w:ascii="Times New Roman" w:eastAsia="MS Gothic" w:hAnsi="Times New Roman"/>
          <w:sz w:val="16"/>
          <w:szCs w:val="16"/>
        </w:rPr>
        <w:t>м</w:t>
      </w:r>
      <w:r w:rsidRPr="0075656B">
        <w:rPr>
          <w:rFonts w:ascii="Times New Roman" w:eastAsia="MS Gothic" w:hAnsi="Times New Roman"/>
          <w:sz w:val="16"/>
          <w:szCs w:val="16"/>
        </w:rPr>
        <w:t xml:space="preserve"> настоящего З</w:t>
      </w:r>
      <w:r w:rsidR="00FB10A7" w:rsidRPr="0075656B">
        <w:rPr>
          <w:rFonts w:ascii="Times New Roman" w:eastAsia="MS Gothic" w:hAnsi="Times New Roman"/>
          <w:sz w:val="16"/>
          <w:szCs w:val="16"/>
        </w:rPr>
        <w:t xml:space="preserve">аявления подтверждаю, </w:t>
      </w:r>
      <w:r w:rsidRPr="0075656B">
        <w:rPr>
          <w:rFonts w:ascii="Times New Roman" w:eastAsia="MS Gothic" w:hAnsi="Times New Roman"/>
          <w:sz w:val="16"/>
          <w:szCs w:val="16"/>
        </w:rPr>
        <w:t>что</w:t>
      </w:r>
    </w:p>
    <w:p w14:paraId="4BED279C" w14:textId="3F2F9046" w:rsidR="00001E0F" w:rsidRPr="0075656B" w:rsidRDefault="0062353E" w:rsidP="00E11D62">
      <w:pPr>
        <w:tabs>
          <w:tab w:val="left" w:pos="1134"/>
        </w:tabs>
        <w:spacing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с условиями </w:t>
      </w:r>
      <w:r w:rsidR="008B05B2" w:rsidRPr="0075656B">
        <w:rPr>
          <w:rFonts w:ascii="Times New Roman" w:eastAsia="MS Gothic" w:hAnsi="Times New Roman"/>
          <w:sz w:val="16"/>
          <w:szCs w:val="16"/>
        </w:rPr>
        <w:t xml:space="preserve">Договора о брокерском обслуживании и </w:t>
      </w:r>
      <w:r w:rsidRPr="0075656B">
        <w:rPr>
          <w:rFonts w:ascii="Times New Roman" w:eastAsia="MS Gothic" w:hAnsi="Times New Roman"/>
          <w:sz w:val="16"/>
          <w:szCs w:val="16"/>
        </w:rPr>
        <w:t xml:space="preserve">Регламента </w:t>
      </w:r>
      <w:r w:rsidR="008B048B" w:rsidRPr="0075656B">
        <w:rPr>
          <w:rFonts w:ascii="Times New Roman" w:eastAsia="MS Gothic" w:hAnsi="Times New Roman"/>
          <w:sz w:val="16"/>
          <w:szCs w:val="16"/>
        </w:rPr>
        <w:t>брокерского обслуживания</w:t>
      </w:r>
      <w:r w:rsidR="002E431B" w:rsidRPr="0075656B">
        <w:rPr>
          <w:rFonts w:ascii="Times New Roman" w:eastAsia="MS Gothic" w:hAnsi="Times New Roman"/>
          <w:sz w:val="16"/>
          <w:szCs w:val="16"/>
        </w:rPr>
        <w:t xml:space="preserve">, размещенным на странице Компании в </w:t>
      </w:r>
      <w:r w:rsidR="00DF60CB" w:rsidRPr="0075656B">
        <w:rPr>
          <w:rFonts w:ascii="Times New Roman" w:eastAsia="MS Gothic" w:hAnsi="Times New Roman"/>
          <w:sz w:val="16"/>
          <w:szCs w:val="16"/>
        </w:rPr>
        <w:t>информационно-</w:t>
      </w:r>
      <w:r w:rsidR="00A119E0" w:rsidRPr="0075656B">
        <w:rPr>
          <w:rFonts w:ascii="Times New Roman" w:eastAsia="MS Gothic" w:hAnsi="Times New Roman"/>
          <w:sz w:val="16"/>
          <w:szCs w:val="16"/>
        </w:rPr>
        <w:t>теле</w:t>
      </w:r>
      <w:r w:rsidR="00DF60CB" w:rsidRPr="0075656B">
        <w:rPr>
          <w:rFonts w:ascii="Times New Roman" w:eastAsia="MS Gothic" w:hAnsi="Times New Roman"/>
          <w:sz w:val="16"/>
          <w:szCs w:val="16"/>
        </w:rPr>
        <w:t xml:space="preserve">коммуникационной </w:t>
      </w:r>
      <w:r w:rsidR="002E431B" w:rsidRPr="0075656B">
        <w:rPr>
          <w:rFonts w:ascii="Times New Roman" w:eastAsia="MS Gothic" w:hAnsi="Times New Roman"/>
          <w:sz w:val="16"/>
          <w:szCs w:val="16"/>
        </w:rPr>
        <w:t xml:space="preserve">сети </w:t>
      </w:r>
      <w:r w:rsidR="00DF60CB" w:rsidRPr="0075656B">
        <w:rPr>
          <w:rFonts w:ascii="Times New Roman" w:eastAsia="MS Gothic" w:hAnsi="Times New Roman"/>
          <w:sz w:val="16"/>
          <w:szCs w:val="16"/>
        </w:rPr>
        <w:t>«</w:t>
      </w:r>
      <w:r w:rsidR="002E431B" w:rsidRPr="0075656B">
        <w:rPr>
          <w:rFonts w:ascii="Times New Roman" w:eastAsia="MS Gothic" w:hAnsi="Times New Roman"/>
          <w:sz w:val="16"/>
          <w:szCs w:val="16"/>
        </w:rPr>
        <w:t>Интернет</w:t>
      </w:r>
      <w:r w:rsidR="00DF60CB" w:rsidRPr="0075656B">
        <w:rPr>
          <w:rFonts w:ascii="Times New Roman" w:eastAsia="MS Gothic" w:hAnsi="Times New Roman"/>
          <w:sz w:val="16"/>
          <w:szCs w:val="16"/>
        </w:rPr>
        <w:t>», расположенной</w:t>
      </w:r>
      <w:r w:rsidR="002E431B" w:rsidRPr="0075656B">
        <w:rPr>
          <w:rFonts w:ascii="Times New Roman" w:eastAsia="MS Gothic" w:hAnsi="Times New Roman"/>
          <w:sz w:val="16"/>
          <w:szCs w:val="16"/>
        </w:rPr>
        <w:t xml:space="preserve"> по адресу</w:t>
      </w:r>
      <w:r w:rsidR="004D1988" w:rsidRPr="00902781">
        <w:rPr>
          <w:rFonts w:ascii="Times New Roman" w:eastAsia="MS Gothic" w:hAnsi="Times New Roman"/>
          <w:sz w:val="16"/>
          <w:szCs w:val="16"/>
        </w:rPr>
        <w:t>: https://www. ikhorizon.ru/</w:t>
      </w:r>
      <w:r w:rsidR="002E431B" w:rsidRPr="00902781">
        <w:rPr>
          <w:rFonts w:ascii="Times New Roman" w:eastAsia="MS Gothic" w:hAnsi="Times New Roman"/>
          <w:sz w:val="16"/>
          <w:szCs w:val="16"/>
        </w:rPr>
        <w:t>,</w:t>
      </w:r>
      <w:r w:rsidRPr="00902781">
        <w:rPr>
          <w:rFonts w:ascii="Times New Roman" w:eastAsia="MS Gothic" w:hAnsi="Times New Roman"/>
          <w:sz w:val="16"/>
          <w:szCs w:val="16"/>
        </w:rPr>
        <w:t xml:space="preserve"> </w:t>
      </w:r>
      <w:r w:rsidRPr="0075656B">
        <w:rPr>
          <w:rFonts w:ascii="Times New Roman" w:eastAsia="MS Gothic" w:hAnsi="Times New Roman"/>
          <w:sz w:val="16"/>
          <w:szCs w:val="16"/>
        </w:rPr>
        <w:t>ознакомлен и согласен, их содержание мне полностью понятно</w:t>
      </w:r>
      <w:r w:rsidR="00A60228" w:rsidRPr="0075656B">
        <w:rPr>
          <w:rFonts w:ascii="Times New Roman" w:eastAsia="MS Gothic" w:hAnsi="Times New Roman"/>
          <w:sz w:val="16"/>
          <w:szCs w:val="16"/>
        </w:rPr>
        <w:t>;</w:t>
      </w:r>
    </w:p>
    <w:p w14:paraId="7244A160" w14:textId="62860762" w:rsidR="00A60228" w:rsidRPr="0075656B" w:rsidRDefault="00A60228" w:rsidP="00E11D62">
      <w:pPr>
        <w:tabs>
          <w:tab w:val="left" w:pos="1134"/>
        </w:tabs>
        <w:spacing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с информацией для получателей финансовых услуг, размещенной </w:t>
      </w:r>
      <w:r w:rsidRPr="0075656B">
        <w:rPr>
          <w:rFonts w:ascii="Times New Roman" w:hAnsi="Times New Roman"/>
          <w:sz w:val="16"/>
          <w:szCs w:val="16"/>
        </w:rPr>
        <w:t xml:space="preserve">на странице Компании в </w:t>
      </w:r>
      <w:r w:rsidR="00DF60CB" w:rsidRPr="0075656B">
        <w:rPr>
          <w:rFonts w:ascii="Times New Roman" w:hAnsi="Times New Roman"/>
          <w:sz w:val="16"/>
          <w:szCs w:val="16"/>
        </w:rPr>
        <w:t>информационно-</w:t>
      </w:r>
      <w:r w:rsidR="00A119E0" w:rsidRPr="0075656B">
        <w:rPr>
          <w:rFonts w:ascii="Times New Roman" w:hAnsi="Times New Roman"/>
          <w:sz w:val="16"/>
          <w:szCs w:val="16"/>
        </w:rPr>
        <w:t>теле</w:t>
      </w:r>
      <w:r w:rsidR="00DF60CB" w:rsidRPr="0075656B">
        <w:rPr>
          <w:rFonts w:ascii="Times New Roman" w:hAnsi="Times New Roman"/>
          <w:sz w:val="16"/>
          <w:szCs w:val="16"/>
        </w:rPr>
        <w:t xml:space="preserve">коммуникационной </w:t>
      </w:r>
      <w:r w:rsidRPr="0075656B">
        <w:rPr>
          <w:rFonts w:ascii="Times New Roman" w:hAnsi="Times New Roman"/>
          <w:sz w:val="16"/>
          <w:szCs w:val="16"/>
        </w:rPr>
        <w:t>сети «Интернет»</w:t>
      </w:r>
      <w:r w:rsidR="00DF60CB" w:rsidRPr="0075656B">
        <w:rPr>
          <w:rFonts w:ascii="Times New Roman" w:hAnsi="Times New Roman"/>
          <w:sz w:val="16"/>
          <w:szCs w:val="16"/>
        </w:rPr>
        <w:t>, расположенной</w:t>
      </w:r>
      <w:r w:rsidRPr="0075656B">
        <w:rPr>
          <w:rFonts w:ascii="Times New Roman" w:hAnsi="Times New Roman"/>
          <w:sz w:val="16"/>
          <w:szCs w:val="16"/>
        </w:rPr>
        <w:t xml:space="preserve"> по адресу</w:t>
      </w:r>
      <w:r w:rsidR="007C7CCD">
        <w:rPr>
          <w:rFonts w:ascii="Times New Roman" w:hAnsi="Times New Roman"/>
          <w:sz w:val="16"/>
          <w:szCs w:val="16"/>
        </w:rPr>
        <w:t xml:space="preserve"> </w:t>
      </w:r>
      <w:r w:rsidR="007C7CCD" w:rsidRPr="00902781">
        <w:rPr>
          <w:rFonts w:ascii="Times New Roman" w:eastAsia="MS Gothic" w:hAnsi="Times New Roman"/>
          <w:sz w:val="16"/>
          <w:szCs w:val="16"/>
        </w:rPr>
        <w:t>https://www. ikhorizon.ru</w:t>
      </w:r>
      <w:r w:rsidR="00902781">
        <w:rPr>
          <w:rFonts w:ascii="Times New Roman" w:eastAsia="MS Gothic" w:hAnsi="Times New Roman"/>
          <w:sz w:val="16"/>
          <w:szCs w:val="16"/>
        </w:rPr>
        <w:t>,</w:t>
      </w:r>
      <w:r w:rsidR="001B1D85" w:rsidRPr="00C23C34">
        <w:rPr>
          <w:rFonts w:ascii="Times New Roman" w:eastAsia="MS Gothic" w:hAnsi="Times New Roman"/>
          <w:sz w:val="16"/>
          <w:szCs w:val="16"/>
        </w:rPr>
        <w:t xml:space="preserve"> </w:t>
      </w:r>
      <w:r w:rsidRPr="0075656B">
        <w:rPr>
          <w:rFonts w:ascii="Times New Roman" w:eastAsia="MS Gothic" w:hAnsi="Times New Roman"/>
          <w:sz w:val="16"/>
          <w:szCs w:val="16"/>
        </w:rPr>
        <w:t>ознакомлен.</w:t>
      </w:r>
    </w:p>
    <w:p w14:paraId="6415741F" w14:textId="5B43B0F6" w:rsidR="00F124BC" w:rsidRPr="0075656B" w:rsidRDefault="00202E7E" w:rsidP="00A858AD">
      <w:pPr>
        <w:pStyle w:val="a4"/>
        <w:numPr>
          <w:ilvl w:val="0"/>
          <w:numId w:val="1"/>
        </w:numPr>
        <w:tabs>
          <w:tab w:val="left" w:pos="1134"/>
        </w:tabs>
        <w:spacing w:line="240" w:lineRule="auto"/>
        <w:jc w:val="both"/>
        <w:rPr>
          <w:rFonts w:ascii="Times New Roman" w:eastAsia="MS Gothic" w:hAnsi="Times New Roman"/>
          <w:sz w:val="20"/>
          <w:szCs w:val="20"/>
        </w:rPr>
      </w:pPr>
      <w:r w:rsidRPr="0075656B">
        <w:rPr>
          <w:rFonts w:ascii="Times New Roman" w:eastAsia="MS Gothic" w:hAnsi="Times New Roman"/>
          <w:sz w:val="20"/>
          <w:szCs w:val="20"/>
        </w:rPr>
        <w:t>Единый лимит</w:t>
      </w:r>
      <w:r w:rsidR="000178D4" w:rsidRPr="0075656B">
        <w:rPr>
          <w:rFonts w:ascii="Times New Roman" w:eastAsia="MS Gothic" w:hAnsi="Times New Roman"/>
          <w:sz w:val="20"/>
          <w:szCs w:val="20"/>
        </w:rPr>
        <w:t xml:space="preserve"> </w:t>
      </w:r>
      <w:r w:rsidRPr="0075656B">
        <w:rPr>
          <w:rFonts w:ascii="Times New Roman" w:eastAsia="MS Gothic" w:hAnsi="Times New Roman"/>
          <w:i/>
          <w:sz w:val="20"/>
          <w:szCs w:val="20"/>
        </w:rPr>
        <w:t xml:space="preserve">(условие доступно только для Договоров о </w:t>
      </w:r>
      <w:r w:rsidR="006D02DE" w:rsidRPr="0075656B">
        <w:rPr>
          <w:rFonts w:ascii="Times New Roman" w:eastAsia="MS Gothic" w:hAnsi="Times New Roman"/>
          <w:i/>
          <w:sz w:val="20"/>
          <w:szCs w:val="20"/>
        </w:rPr>
        <w:t>б</w:t>
      </w:r>
      <w:r w:rsidRPr="0075656B">
        <w:rPr>
          <w:rFonts w:ascii="Times New Roman" w:eastAsia="MS Gothic" w:hAnsi="Times New Roman"/>
          <w:i/>
          <w:sz w:val="20"/>
          <w:szCs w:val="20"/>
        </w:rPr>
        <w:t>рокерском обслуживании</w:t>
      </w:r>
      <w:r w:rsidR="000178D4" w:rsidRPr="0075656B">
        <w:rPr>
          <w:rFonts w:ascii="Times New Roman" w:eastAsia="MS Gothic" w:hAnsi="Times New Roman"/>
          <w:i/>
          <w:sz w:val="20"/>
          <w:szCs w:val="20"/>
        </w:rPr>
        <w:t>, условия которых изложены в Приложениях № 2</w:t>
      </w:r>
      <w:r w:rsidR="00261522" w:rsidRPr="0075656B">
        <w:rPr>
          <w:rFonts w:ascii="Times New Roman" w:eastAsia="MS Gothic" w:hAnsi="Times New Roman"/>
          <w:i/>
          <w:sz w:val="20"/>
          <w:szCs w:val="20"/>
        </w:rPr>
        <w:t>.</w:t>
      </w:r>
      <w:r w:rsidR="000178D4" w:rsidRPr="0075656B">
        <w:rPr>
          <w:rFonts w:ascii="Times New Roman" w:eastAsia="MS Gothic" w:hAnsi="Times New Roman"/>
          <w:i/>
          <w:sz w:val="20"/>
          <w:szCs w:val="20"/>
        </w:rPr>
        <w:t>1 и 2</w:t>
      </w:r>
      <w:r w:rsidR="00261522" w:rsidRPr="0075656B">
        <w:rPr>
          <w:rFonts w:ascii="Times New Roman" w:eastAsia="MS Gothic" w:hAnsi="Times New Roman"/>
          <w:i/>
          <w:sz w:val="20"/>
          <w:szCs w:val="20"/>
        </w:rPr>
        <w:t>.</w:t>
      </w:r>
      <w:r w:rsidR="000178D4" w:rsidRPr="0075656B">
        <w:rPr>
          <w:rFonts w:ascii="Times New Roman" w:eastAsia="MS Gothic" w:hAnsi="Times New Roman"/>
          <w:i/>
          <w:sz w:val="20"/>
          <w:szCs w:val="20"/>
        </w:rPr>
        <w:t>2 Регламента</w:t>
      </w:r>
      <w:r w:rsidR="008B048B" w:rsidRPr="0075656B">
        <w:rPr>
          <w:rFonts w:ascii="Times New Roman" w:eastAsia="MS Gothic" w:hAnsi="Times New Roman"/>
          <w:i/>
          <w:sz w:val="20"/>
          <w:szCs w:val="20"/>
        </w:rPr>
        <w:t xml:space="preserve"> брокерского обслуживания</w:t>
      </w:r>
      <w:r w:rsidR="000178D4" w:rsidRPr="0075656B">
        <w:rPr>
          <w:rFonts w:ascii="Times New Roman" w:eastAsia="MS Gothic" w:hAnsi="Times New Roman"/>
          <w:i/>
          <w:sz w:val="20"/>
          <w:szCs w:val="20"/>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043EDB" w:rsidRPr="00D27A8F" w14:paraId="39B43875" w14:textId="77777777" w:rsidTr="00A858AD">
        <w:trPr>
          <w:trHeight w:val="318"/>
        </w:trPr>
        <w:tc>
          <w:tcPr>
            <w:tcW w:w="9498" w:type="dxa"/>
          </w:tcPr>
          <w:p w14:paraId="2614AB0C" w14:textId="7F86EF1E" w:rsidR="00043EDB" w:rsidRPr="0075656B" w:rsidRDefault="00802E57" w:rsidP="00A858AD">
            <w:pPr>
              <w:tabs>
                <w:tab w:val="left" w:pos="1134"/>
              </w:tabs>
              <w:spacing w:line="240" w:lineRule="auto"/>
              <w:ind w:left="360"/>
              <w:jc w:val="both"/>
              <w:rPr>
                <w:rFonts w:ascii="Times New Roman" w:eastAsia="MS Gothic" w:hAnsi="Times New Roman"/>
                <w:sz w:val="16"/>
                <w:szCs w:val="16"/>
              </w:rPr>
            </w:pPr>
            <w:sdt>
              <w:sdtPr>
                <w:rPr>
                  <w:rFonts w:ascii="Times New Roman" w:eastAsia="MS Gothic" w:hAnsi="Times New Roman"/>
                  <w:sz w:val="20"/>
                  <w:szCs w:val="20"/>
                </w:rPr>
                <w:id w:val="-1021781979"/>
                <w14:checkbox>
                  <w14:checked w14:val="0"/>
                  <w14:checkedState w14:val="2612" w14:font="MS Gothic"/>
                  <w14:uncheckedState w14:val="2610" w14:font="MS Gothic"/>
                </w14:checkbox>
              </w:sdtPr>
              <w:sdtEndPr/>
              <w:sdtContent>
                <w:r w:rsidR="00043EDB" w:rsidRPr="0075656B">
                  <w:rPr>
                    <w:rFonts w:ascii="Segoe UI Symbol" w:eastAsia="MS Gothic" w:hAnsi="Segoe UI Symbol" w:cs="Segoe UI Symbol"/>
                    <w:sz w:val="20"/>
                    <w:szCs w:val="20"/>
                  </w:rPr>
                  <w:t>☐</w:t>
                </w:r>
              </w:sdtContent>
            </w:sdt>
            <w:r w:rsidR="00043EDB" w:rsidRPr="0075656B">
              <w:rPr>
                <w:rFonts w:ascii="Times New Roman" w:eastAsia="MS Gothic" w:hAnsi="Times New Roman"/>
                <w:sz w:val="16"/>
                <w:szCs w:val="16"/>
              </w:rPr>
              <w:t xml:space="preserve"> Настоящим прошу оказывать </w:t>
            </w:r>
            <w:r w:rsidR="006D02DE" w:rsidRPr="0075656B">
              <w:rPr>
                <w:rFonts w:ascii="Times New Roman" w:eastAsia="MS Gothic" w:hAnsi="Times New Roman"/>
                <w:sz w:val="16"/>
                <w:szCs w:val="16"/>
              </w:rPr>
              <w:t>б</w:t>
            </w:r>
            <w:r w:rsidR="00043EDB" w:rsidRPr="0075656B">
              <w:rPr>
                <w:rFonts w:ascii="Times New Roman" w:eastAsia="MS Gothic" w:hAnsi="Times New Roman"/>
                <w:sz w:val="16"/>
                <w:szCs w:val="16"/>
              </w:rPr>
              <w:t>рокерское обслуживание на условиях Единого лимита (условие брокерского обслуживания, при котором денежные средства, обязательства и задолженность Клиента перед Компанией, входящие в Портфель фондового рынка-1 и в Портфель валютного рынка</w:t>
            </w:r>
            <w:r w:rsidR="00960F99" w:rsidRPr="0075656B">
              <w:rPr>
                <w:rFonts w:ascii="Times New Roman" w:eastAsia="MS Gothic" w:hAnsi="Times New Roman"/>
                <w:sz w:val="16"/>
                <w:szCs w:val="16"/>
              </w:rPr>
              <w:t xml:space="preserve"> и рынка драгоценных металлов</w:t>
            </w:r>
            <w:r w:rsidR="00043EDB" w:rsidRPr="0075656B">
              <w:rPr>
                <w:rFonts w:ascii="Times New Roman" w:eastAsia="MS Gothic" w:hAnsi="Times New Roman"/>
                <w:sz w:val="16"/>
                <w:szCs w:val="16"/>
              </w:rPr>
              <w:t>, объединяются для целей определения достаточности денежных средств Клиента для совершения сделок с ценными бумагами и инструментами валютного рынка</w:t>
            </w:r>
            <w:r w:rsidR="002C76B7" w:rsidRPr="0075656B">
              <w:rPr>
                <w:rFonts w:ascii="Times New Roman" w:eastAsia="MS Gothic" w:hAnsi="Times New Roman"/>
                <w:sz w:val="16"/>
                <w:szCs w:val="16"/>
              </w:rPr>
              <w:t xml:space="preserve"> и рынка драгоценных металлов</w:t>
            </w:r>
            <w:r w:rsidR="00043EDB" w:rsidRPr="0075656B">
              <w:rPr>
                <w:rFonts w:ascii="Times New Roman" w:eastAsia="MS Gothic" w:hAnsi="Times New Roman"/>
                <w:sz w:val="16"/>
                <w:szCs w:val="16"/>
              </w:rPr>
              <w:t xml:space="preserve"> на </w:t>
            </w:r>
            <w:r w:rsidR="002C76B7" w:rsidRPr="0075656B">
              <w:rPr>
                <w:rFonts w:ascii="Times New Roman" w:eastAsia="MS Gothic" w:hAnsi="Times New Roman"/>
                <w:sz w:val="16"/>
                <w:szCs w:val="16"/>
              </w:rPr>
              <w:t>Ф</w:t>
            </w:r>
            <w:r w:rsidR="00043EDB" w:rsidRPr="0075656B">
              <w:rPr>
                <w:rFonts w:ascii="Times New Roman" w:eastAsia="MS Gothic" w:hAnsi="Times New Roman"/>
                <w:sz w:val="16"/>
                <w:szCs w:val="16"/>
              </w:rPr>
              <w:t xml:space="preserve">ондовом </w:t>
            </w:r>
            <w:r w:rsidR="002C76B7" w:rsidRPr="0075656B">
              <w:rPr>
                <w:rFonts w:ascii="Times New Roman" w:eastAsia="MS Gothic" w:hAnsi="Times New Roman"/>
                <w:sz w:val="16"/>
                <w:szCs w:val="16"/>
              </w:rPr>
              <w:t xml:space="preserve">рынке </w:t>
            </w:r>
            <w:r w:rsidR="00043EDB" w:rsidRPr="0075656B">
              <w:rPr>
                <w:rFonts w:ascii="Times New Roman" w:eastAsia="MS Gothic" w:hAnsi="Times New Roman"/>
                <w:sz w:val="16"/>
                <w:szCs w:val="16"/>
              </w:rPr>
              <w:t xml:space="preserve">и </w:t>
            </w:r>
            <w:r w:rsidR="002C76B7" w:rsidRPr="0075656B">
              <w:rPr>
                <w:rFonts w:ascii="Times New Roman" w:eastAsia="MS Gothic" w:hAnsi="Times New Roman"/>
                <w:sz w:val="16"/>
                <w:szCs w:val="16"/>
              </w:rPr>
              <w:t>В</w:t>
            </w:r>
            <w:r w:rsidR="00043EDB" w:rsidRPr="0075656B">
              <w:rPr>
                <w:rFonts w:ascii="Times New Roman" w:eastAsia="MS Gothic" w:hAnsi="Times New Roman"/>
                <w:sz w:val="16"/>
                <w:szCs w:val="16"/>
              </w:rPr>
              <w:t>алютном рынк</w:t>
            </w:r>
            <w:r w:rsidR="002C76B7" w:rsidRPr="0075656B">
              <w:rPr>
                <w:rFonts w:ascii="Times New Roman" w:eastAsia="MS Gothic" w:hAnsi="Times New Roman"/>
                <w:sz w:val="16"/>
                <w:szCs w:val="16"/>
              </w:rPr>
              <w:t>е и рынке драгоценных металлов</w:t>
            </w:r>
            <w:r w:rsidR="00043EDB" w:rsidRPr="0075656B">
              <w:rPr>
                <w:rFonts w:ascii="Times New Roman" w:eastAsia="MS Gothic" w:hAnsi="Times New Roman"/>
                <w:sz w:val="16"/>
                <w:szCs w:val="16"/>
              </w:rPr>
              <w:t xml:space="preserve"> ПАО Московская Биржа</w:t>
            </w:r>
            <w:r w:rsidR="00476C79" w:rsidRPr="0075656B">
              <w:rPr>
                <w:rFonts w:ascii="Times New Roman" w:eastAsia="MS Gothic" w:hAnsi="Times New Roman"/>
                <w:sz w:val="16"/>
                <w:szCs w:val="16"/>
              </w:rPr>
              <w:t>, а также внебиржевом рынке</w:t>
            </w:r>
            <w:r w:rsidR="00043EDB" w:rsidRPr="0075656B">
              <w:rPr>
                <w:rFonts w:ascii="Times New Roman" w:eastAsia="MS Gothic" w:hAnsi="Times New Roman"/>
                <w:sz w:val="16"/>
                <w:szCs w:val="16"/>
              </w:rPr>
              <w:t>).</w:t>
            </w:r>
          </w:p>
          <w:p w14:paraId="01F2A06A" w14:textId="76905E89" w:rsidR="00043EDB" w:rsidRPr="0075656B" w:rsidRDefault="00043EDB" w:rsidP="00A858AD">
            <w:pPr>
              <w:tabs>
                <w:tab w:val="left" w:pos="1134"/>
              </w:tabs>
              <w:spacing w:line="240" w:lineRule="auto"/>
              <w:ind w:left="360"/>
              <w:jc w:val="both"/>
              <w:rPr>
                <w:rFonts w:ascii="Times New Roman" w:eastAsia="MS Gothic" w:hAnsi="Times New Roman"/>
                <w:sz w:val="16"/>
                <w:szCs w:val="16"/>
              </w:rPr>
            </w:pPr>
            <w:r w:rsidRPr="0075656B">
              <w:rPr>
                <w:rFonts w:ascii="Times New Roman" w:eastAsia="MS Gothic" w:hAnsi="Times New Roman"/>
                <w:sz w:val="16"/>
                <w:szCs w:val="16"/>
              </w:rPr>
              <w:t xml:space="preserve">Предоставление </w:t>
            </w:r>
            <w:r w:rsidR="006D02DE" w:rsidRPr="0075656B">
              <w:rPr>
                <w:rFonts w:ascii="Times New Roman" w:eastAsia="MS Gothic" w:hAnsi="Times New Roman"/>
                <w:sz w:val="16"/>
                <w:szCs w:val="16"/>
              </w:rPr>
              <w:t>б</w:t>
            </w:r>
            <w:r w:rsidRPr="0075656B">
              <w:rPr>
                <w:rFonts w:ascii="Times New Roman" w:eastAsia="MS Gothic" w:hAnsi="Times New Roman"/>
                <w:sz w:val="16"/>
                <w:szCs w:val="16"/>
              </w:rPr>
              <w:t>рокерского обслуживания на условиях Единого лимита означает, что</w:t>
            </w:r>
          </w:p>
          <w:p w14:paraId="5400A6B3" w14:textId="41A57E28" w:rsidR="00043EDB" w:rsidRPr="0075656B" w:rsidRDefault="00043EDB" w:rsidP="00A858AD">
            <w:pPr>
              <w:tabs>
                <w:tab w:val="left" w:pos="1134"/>
              </w:tabs>
              <w:spacing w:line="240" w:lineRule="auto"/>
              <w:ind w:left="360"/>
              <w:jc w:val="both"/>
              <w:rPr>
                <w:rFonts w:ascii="Times New Roman" w:eastAsia="MS Gothic" w:hAnsi="Times New Roman"/>
                <w:sz w:val="16"/>
                <w:szCs w:val="16"/>
              </w:rPr>
            </w:pPr>
            <w:r w:rsidRPr="0075656B">
              <w:rPr>
                <w:rFonts w:ascii="Times New Roman" w:eastAsia="MS Gothic" w:hAnsi="Times New Roman"/>
                <w:sz w:val="16"/>
                <w:szCs w:val="16"/>
              </w:rPr>
              <w:t>Клиент поручает, а Компания регистрирует Клиента в торговых системах: ПАО Московская Биржа: Сектор фондового рынка и ПАО Московская Биржа: Валютный рынок</w:t>
            </w:r>
            <w:r w:rsidR="002C76B7" w:rsidRPr="0075656B">
              <w:rPr>
                <w:rFonts w:ascii="Times New Roman" w:eastAsia="MS Gothic" w:hAnsi="Times New Roman"/>
                <w:sz w:val="16"/>
                <w:szCs w:val="16"/>
              </w:rPr>
              <w:t xml:space="preserve"> и рынок драгоценных металлов</w:t>
            </w:r>
            <w:r w:rsidRPr="0075656B">
              <w:rPr>
                <w:rFonts w:ascii="Times New Roman" w:eastAsia="MS Gothic" w:hAnsi="Times New Roman"/>
                <w:sz w:val="16"/>
                <w:szCs w:val="16"/>
              </w:rPr>
              <w:t>, при этом Клиент вправе зарегистрироваться и в других Торговых системах</w:t>
            </w:r>
            <w:r w:rsidR="00320D22">
              <w:rPr>
                <w:rFonts w:ascii="Times New Roman" w:eastAsia="MS Gothic" w:hAnsi="Times New Roman"/>
                <w:sz w:val="16"/>
                <w:szCs w:val="16"/>
              </w:rPr>
              <w:t>;</w:t>
            </w:r>
          </w:p>
          <w:p w14:paraId="7D42A3DB" w14:textId="77777777" w:rsidR="00320D22" w:rsidRDefault="00320D22" w:rsidP="00A858AD">
            <w:pPr>
              <w:tabs>
                <w:tab w:val="left" w:pos="1134"/>
              </w:tabs>
              <w:spacing w:line="240" w:lineRule="auto"/>
              <w:ind w:left="360"/>
              <w:jc w:val="both"/>
              <w:rPr>
                <w:rFonts w:ascii="Times New Roman" w:eastAsia="MS Gothic" w:hAnsi="Times New Roman"/>
                <w:sz w:val="16"/>
                <w:szCs w:val="16"/>
              </w:rPr>
            </w:pPr>
            <w:r w:rsidRPr="00320D22">
              <w:rPr>
                <w:rFonts w:ascii="Times New Roman" w:eastAsia="MS Gothic" w:hAnsi="Times New Roman"/>
                <w:sz w:val="16"/>
                <w:szCs w:val="16"/>
              </w:rPr>
              <w:t>Клиент предоставляет Компании право использования денежных средств Клиента в своих интересах;</w:t>
            </w:r>
          </w:p>
          <w:p w14:paraId="0ED17C83" w14:textId="77777777" w:rsidR="00043EDB" w:rsidRDefault="00043EDB" w:rsidP="00A858AD">
            <w:pPr>
              <w:tabs>
                <w:tab w:val="left" w:pos="1134"/>
              </w:tabs>
              <w:spacing w:line="240" w:lineRule="auto"/>
              <w:ind w:left="360"/>
              <w:jc w:val="both"/>
              <w:rPr>
                <w:rFonts w:ascii="Times New Roman" w:eastAsia="MS Gothic" w:hAnsi="Times New Roman"/>
                <w:sz w:val="16"/>
                <w:szCs w:val="16"/>
              </w:rPr>
            </w:pPr>
            <w:r w:rsidRPr="0075656B">
              <w:rPr>
                <w:rFonts w:ascii="Times New Roman" w:eastAsia="MS Gothic" w:hAnsi="Times New Roman"/>
                <w:sz w:val="16"/>
                <w:szCs w:val="16"/>
              </w:rPr>
              <w:t xml:space="preserve">Возможность совершения Клиентом сделок на </w:t>
            </w:r>
            <w:r w:rsidR="002C76B7" w:rsidRPr="0075656B">
              <w:rPr>
                <w:rFonts w:ascii="Times New Roman" w:eastAsia="MS Gothic" w:hAnsi="Times New Roman"/>
                <w:sz w:val="16"/>
                <w:szCs w:val="16"/>
              </w:rPr>
              <w:t>Ф</w:t>
            </w:r>
            <w:r w:rsidR="00476C79" w:rsidRPr="0075656B">
              <w:rPr>
                <w:rFonts w:ascii="Times New Roman" w:eastAsia="MS Gothic" w:hAnsi="Times New Roman"/>
                <w:sz w:val="16"/>
                <w:szCs w:val="16"/>
              </w:rPr>
              <w:t>ондовом</w:t>
            </w:r>
            <w:r w:rsidR="002C76B7" w:rsidRPr="0075656B">
              <w:rPr>
                <w:rFonts w:ascii="Times New Roman" w:eastAsia="MS Gothic" w:hAnsi="Times New Roman"/>
                <w:sz w:val="16"/>
                <w:szCs w:val="16"/>
              </w:rPr>
              <w:t xml:space="preserve"> рынке и</w:t>
            </w:r>
            <w:r w:rsidR="00476C79" w:rsidRPr="0075656B">
              <w:rPr>
                <w:rFonts w:ascii="Times New Roman" w:eastAsia="MS Gothic" w:hAnsi="Times New Roman"/>
                <w:sz w:val="16"/>
                <w:szCs w:val="16"/>
              </w:rPr>
              <w:t xml:space="preserve"> </w:t>
            </w:r>
            <w:r w:rsidR="002C76B7" w:rsidRPr="0075656B">
              <w:rPr>
                <w:rFonts w:ascii="Times New Roman" w:eastAsia="MS Gothic" w:hAnsi="Times New Roman"/>
                <w:sz w:val="16"/>
                <w:szCs w:val="16"/>
              </w:rPr>
              <w:t>В</w:t>
            </w:r>
            <w:r w:rsidRPr="0075656B">
              <w:rPr>
                <w:rFonts w:ascii="Times New Roman" w:eastAsia="MS Gothic" w:hAnsi="Times New Roman"/>
                <w:sz w:val="16"/>
                <w:szCs w:val="16"/>
              </w:rPr>
              <w:t>алютном рынке</w:t>
            </w:r>
            <w:r w:rsidR="002C76B7" w:rsidRPr="0075656B">
              <w:rPr>
                <w:rFonts w:ascii="Times New Roman" w:eastAsia="MS Gothic" w:hAnsi="Times New Roman"/>
                <w:sz w:val="16"/>
                <w:szCs w:val="16"/>
              </w:rPr>
              <w:t xml:space="preserve"> и рынке драгоценных металлов</w:t>
            </w:r>
            <w:r w:rsidRPr="0075656B">
              <w:rPr>
                <w:rFonts w:ascii="Times New Roman" w:eastAsia="MS Gothic" w:hAnsi="Times New Roman"/>
                <w:sz w:val="16"/>
                <w:szCs w:val="16"/>
              </w:rPr>
              <w:t xml:space="preserve"> ПАО Московская Биржа, </w:t>
            </w:r>
            <w:r w:rsidR="00476C79" w:rsidRPr="0075656B">
              <w:rPr>
                <w:rFonts w:ascii="Times New Roman" w:eastAsia="MS Gothic" w:hAnsi="Times New Roman"/>
                <w:sz w:val="16"/>
                <w:szCs w:val="16"/>
              </w:rPr>
              <w:t xml:space="preserve">а также внебиржевом рынке </w:t>
            </w:r>
            <w:r w:rsidRPr="0075656B">
              <w:rPr>
                <w:rFonts w:ascii="Times New Roman" w:eastAsia="MS Gothic" w:hAnsi="Times New Roman"/>
                <w:sz w:val="16"/>
                <w:szCs w:val="16"/>
              </w:rPr>
              <w:t>определяется достаточностью денежных средств в соответствующей валюте (с учетом обязательств, срок исполнения которых наступил), учитываемых как в Портфелей фондового рынка-1, так и в Портфеле валютного рынка</w:t>
            </w:r>
            <w:r w:rsidR="002C76B7" w:rsidRPr="0075656B">
              <w:rPr>
                <w:rFonts w:ascii="Times New Roman" w:eastAsia="MS Gothic" w:hAnsi="Times New Roman"/>
                <w:sz w:val="16"/>
                <w:szCs w:val="16"/>
              </w:rPr>
              <w:t xml:space="preserve"> и рынка драгоценных металлов</w:t>
            </w:r>
            <w:r w:rsidRPr="0075656B">
              <w:rPr>
                <w:rFonts w:ascii="Times New Roman" w:eastAsia="MS Gothic" w:hAnsi="Times New Roman"/>
                <w:sz w:val="16"/>
                <w:szCs w:val="16"/>
              </w:rPr>
              <w:t>.</w:t>
            </w:r>
          </w:p>
          <w:p w14:paraId="1DC15D02" w14:textId="1024B970" w:rsidR="00320D22" w:rsidRPr="00320D22" w:rsidRDefault="00320D22" w:rsidP="00320D22">
            <w:pPr>
              <w:tabs>
                <w:tab w:val="left" w:pos="1134"/>
              </w:tabs>
              <w:spacing w:line="240" w:lineRule="auto"/>
              <w:ind w:left="360"/>
              <w:jc w:val="both"/>
              <w:rPr>
                <w:rFonts w:ascii="Times New Roman" w:eastAsia="MS Gothic" w:hAnsi="Times New Roman"/>
                <w:sz w:val="16"/>
                <w:szCs w:val="16"/>
              </w:rPr>
            </w:pPr>
            <w:r w:rsidRPr="00320D22">
              <w:rPr>
                <w:rFonts w:ascii="Times New Roman" w:eastAsia="MS Gothic" w:hAnsi="Times New Roman"/>
                <w:sz w:val="16"/>
                <w:szCs w:val="16"/>
              </w:rPr>
              <w:t xml:space="preserve">Направление Клиентом Заявления о присоединении к Договору с отметкой о предоставлении Клиенту </w:t>
            </w:r>
            <w:r>
              <w:rPr>
                <w:rFonts w:ascii="Times New Roman" w:eastAsia="MS Gothic" w:hAnsi="Times New Roman"/>
                <w:sz w:val="16"/>
                <w:szCs w:val="16"/>
              </w:rPr>
              <w:t>б</w:t>
            </w:r>
            <w:r w:rsidRPr="00320D22">
              <w:rPr>
                <w:rFonts w:ascii="Times New Roman" w:eastAsia="MS Gothic" w:hAnsi="Times New Roman"/>
                <w:sz w:val="16"/>
                <w:szCs w:val="16"/>
              </w:rPr>
              <w:t>рокерского обслуживания на условиях Единого лимита означает предоставление Клиентом Компании права использования денежных средств Клиента в своих интересах. В этом случае Клиент подтверждает, что он (i) ознакомлен с уведомлением о рисках использования брокером в своих интересах денежных средств клиента, в том числе с правом направить отказ Компании в предоставлении ей права использования в своих интересах денежных средств, с формой и порядком направления такого отказа (</w:t>
            </w:r>
            <w:r w:rsidRPr="000F5E38">
              <w:rPr>
                <w:rFonts w:ascii="Times New Roman" w:eastAsia="MS Gothic" w:hAnsi="Times New Roman"/>
                <w:i/>
                <w:sz w:val="16"/>
                <w:szCs w:val="16"/>
              </w:rPr>
              <w:t>пункт 13 раздела 6 настоящего заявления</w:t>
            </w:r>
            <w:r w:rsidRPr="00320D22">
              <w:rPr>
                <w:rFonts w:ascii="Times New Roman" w:eastAsia="MS Gothic" w:hAnsi="Times New Roman"/>
                <w:sz w:val="16"/>
                <w:szCs w:val="16"/>
              </w:rPr>
              <w:t>); (</w:t>
            </w:r>
            <w:proofErr w:type="spellStart"/>
            <w:r w:rsidRPr="00320D22">
              <w:rPr>
                <w:rFonts w:ascii="Times New Roman" w:eastAsia="MS Gothic" w:hAnsi="Times New Roman"/>
                <w:sz w:val="16"/>
                <w:szCs w:val="16"/>
              </w:rPr>
              <w:t>ii</w:t>
            </w:r>
            <w:proofErr w:type="spellEnd"/>
            <w:r w:rsidRPr="00320D22">
              <w:rPr>
                <w:rFonts w:ascii="Times New Roman" w:eastAsia="MS Gothic" w:hAnsi="Times New Roman"/>
                <w:sz w:val="16"/>
                <w:szCs w:val="16"/>
              </w:rPr>
              <w:t>) риски использования Компанией в своих интересах денежных средств Клиента ему понятны и принимаются им; (</w:t>
            </w:r>
            <w:proofErr w:type="spellStart"/>
            <w:r w:rsidRPr="00320D22">
              <w:rPr>
                <w:rFonts w:ascii="Times New Roman" w:eastAsia="MS Gothic" w:hAnsi="Times New Roman"/>
                <w:sz w:val="16"/>
                <w:szCs w:val="16"/>
              </w:rPr>
              <w:t>iii</w:t>
            </w:r>
            <w:proofErr w:type="spellEnd"/>
            <w:r w:rsidRPr="00320D22">
              <w:rPr>
                <w:rFonts w:ascii="Times New Roman" w:eastAsia="MS Gothic" w:hAnsi="Times New Roman"/>
                <w:sz w:val="16"/>
                <w:szCs w:val="16"/>
              </w:rPr>
              <w:t>) ознакомлен с тем, что использование Компанией денежных средств осуществляется на безвозмездной основе, в том числе без распределения дохода, полученного от такого использования, в пользу Клиента.</w:t>
            </w:r>
          </w:p>
          <w:p w14:paraId="23A6310B" w14:textId="3161662A" w:rsidR="00320D22" w:rsidRPr="0075656B" w:rsidRDefault="00320D22" w:rsidP="00320D22">
            <w:pPr>
              <w:tabs>
                <w:tab w:val="left" w:pos="1134"/>
              </w:tabs>
              <w:spacing w:line="240" w:lineRule="auto"/>
              <w:ind w:left="360"/>
              <w:jc w:val="both"/>
              <w:rPr>
                <w:rFonts w:ascii="Times New Roman" w:eastAsia="MS Gothic" w:hAnsi="Times New Roman"/>
                <w:sz w:val="16"/>
                <w:szCs w:val="16"/>
              </w:rPr>
            </w:pPr>
            <w:r w:rsidRPr="00320D22">
              <w:rPr>
                <w:rFonts w:ascii="Times New Roman" w:eastAsia="MS Gothic" w:hAnsi="Times New Roman"/>
                <w:sz w:val="16"/>
                <w:szCs w:val="16"/>
              </w:rPr>
              <w:t xml:space="preserve">В случае если в одном Заявлении о присоединении к Договору стоит отметка о предоставлении Клиенту Брокерского обслуживания на условиях Единого лимита и отказ Клиента от предоставления Компании права использования денежных средств Клиента в своих интересах, Компания не принимает во внимание отметку Клиента о предоставлении ему </w:t>
            </w:r>
            <w:r>
              <w:rPr>
                <w:rFonts w:ascii="Times New Roman" w:eastAsia="MS Gothic" w:hAnsi="Times New Roman"/>
                <w:sz w:val="16"/>
                <w:szCs w:val="16"/>
              </w:rPr>
              <w:t>б</w:t>
            </w:r>
            <w:r w:rsidRPr="00320D22">
              <w:rPr>
                <w:rFonts w:ascii="Times New Roman" w:eastAsia="MS Gothic" w:hAnsi="Times New Roman"/>
                <w:sz w:val="16"/>
                <w:szCs w:val="16"/>
              </w:rPr>
              <w:t>рокерского обслуживания на условиях Единого лимита</w:t>
            </w:r>
            <w:r>
              <w:rPr>
                <w:rFonts w:ascii="Times New Roman" w:eastAsia="MS Gothic" w:hAnsi="Times New Roman"/>
                <w:sz w:val="16"/>
                <w:szCs w:val="16"/>
              </w:rPr>
              <w:t>; б</w:t>
            </w:r>
            <w:r w:rsidRPr="00320D22">
              <w:rPr>
                <w:rFonts w:ascii="Times New Roman" w:eastAsia="MS Gothic" w:hAnsi="Times New Roman"/>
                <w:sz w:val="16"/>
                <w:szCs w:val="16"/>
              </w:rPr>
              <w:t xml:space="preserve">рокерское обслуживание Клиента на условиях Единого </w:t>
            </w:r>
            <w:r>
              <w:rPr>
                <w:rFonts w:ascii="Times New Roman" w:eastAsia="MS Gothic" w:hAnsi="Times New Roman"/>
                <w:sz w:val="16"/>
                <w:szCs w:val="16"/>
              </w:rPr>
              <w:t xml:space="preserve">лимита </w:t>
            </w:r>
            <w:r w:rsidRPr="00320D22">
              <w:rPr>
                <w:rFonts w:ascii="Times New Roman" w:eastAsia="MS Gothic" w:hAnsi="Times New Roman"/>
                <w:sz w:val="16"/>
                <w:szCs w:val="16"/>
              </w:rPr>
              <w:t>не осуществляется.</w:t>
            </w:r>
          </w:p>
        </w:tc>
      </w:tr>
    </w:tbl>
    <w:p w14:paraId="51E6A297" w14:textId="77777777" w:rsidR="00E40E57" w:rsidRPr="0075656B" w:rsidRDefault="00E40E57" w:rsidP="00A858AD">
      <w:pPr>
        <w:spacing w:line="240" w:lineRule="auto"/>
        <w:jc w:val="both"/>
        <w:rPr>
          <w:rFonts w:ascii="Times New Roman" w:eastAsia="MS Gothic" w:hAnsi="Times New Roman"/>
          <w:sz w:val="16"/>
          <w:szCs w:val="16"/>
        </w:rPr>
      </w:pPr>
    </w:p>
    <w:tbl>
      <w:tblPr>
        <w:tblpPr w:leftFromText="180" w:rightFromText="180" w:vertAnchor="text" w:horzAnchor="margin" w:tblpY="346"/>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914"/>
      </w:tblGrid>
      <w:tr w:rsidR="006C75C3" w:rsidRPr="00D27A8F" w14:paraId="524C4F0B" w14:textId="77777777" w:rsidTr="008E01E6">
        <w:trPr>
          <w:trHeight w:val="323"/>
        </w:trPr>
        <w:tc>
          <w:tcPr>
            <w:tcW w:w="562" w:type="dxa"/>
            <w:shd w:val="clear" w:color="auto" w:fill="auto"/>
            <w:vAlign w:val="center"/>
          </w:tcPr>
          <w:p w14:paraId="17F85CA4" w14:textId="77777777" w:rsidR="006C75C3" w:rsidRPr="0075656B" w:rsidRDefault="00802E57" w:rsidP="00CF7B79">
            <w:pPr>
              <w:pStyle w:val="a4"/>
              <w:spacing w:after="0" w:line="240" w:lineRule="auto"/>
              <w:ind w:left="0"/>
              <w:rPr>
                <w:rFonts w:ascii="Times New Roman" w:hAnsi="Times New Roman"/>
                <w:b/>
                <w:sz w:val="16"/>
                <w:szCs w:val="16"/>
                <w:lang w:val="en-US"/>
              </w:rPr>
            </w:pPr>
            <w:sdt>
              <w:sdtPr>
                <w:rPr>
                  <w:rFonts w:ascii="Times New Roman" w:eastAsia="MS Gothic" w:hAnsi="Times New Roman"/>
                  <w:sz w:val="20"/>
                  <w:szCs w:val="20"/>
                </w:rPr>
                <w:id w:val="-245492639"/>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p>
        </w:tc>
        <w:tc>
          <w:tcPr>
            <w:tcW w:w="8914" w:type="dxa"/>
            <w:tcBorders>
              <w:right w:val="single" w:sz="4" w:space="0" w:color="auto"/>
            </w:tcBorders>
            <w:shd w:val="clear" w:color="auto" w:fill="auto"/>
            <w:vAlign w:val="center"/>
          </w:tcPr>
          <w:p w14:paraId="2E06B4A1" w14:textId="77777777" w:rsidR="006C75C3" w:rsidRPr="0075656B" w:rsidRDefault="00D65FF8" w:rsidP="00E40E57">
            <w:pPr>
              <w:pStyle w:val="a4"/>
              <w:spacing w:after="0" w:line="240" w:lineRule="auto"/>
              <w:ind w:left="0"/>
              <w:rPr>
                <w:rFonts w:ascii="Times New Roman" w:eastAsia="MS Gothic" w:hAnsi="Times New Roman"/>
                <w:sz w:val="16"/>
                <w:szCs w:val="16"/>
              </w:rPr>
            </w:pPr>
            <w:r w:rsidRPr="0075656B">
              <w:rPr>
                <w:rFonts w:ascii="Times New Roman" w:eastAsia="MS Gothic" w:hAnsi="Times New Roman"/>
                <w:sz w:val="16"/>
                <w:szCs w:val="16"/>
              </w:rPr>
              <w:t xml:space="preserve">ПАО Московская </w:t>
            </w:r>
            <w:r w:rsidR="00DB74B2" w:rsidRPr="0075656B">
              <w:rPr>
                <w:rFonts w:ascii="Times New Roman" w:eastAsia="MS Gothic" w:hAnsi="Times New Roman"/>
                <w:sz w:val="16"/>
                <w:szCs w:val="16"/>
              </w:rPr>
              <w:t>Б</w:t>
            </w:r>
            <w:r w:rsidRPr="0075656B">
              <w:rPr>
                <w:rFonts w:ascii="Times New Roman" w:eastAsia="MS Gothic" w:hAnsi="Times New Roman"/>
                <w:sz w:val="16"/>
                <w:szCs w:val="16"/>
              </w:rPr>
              <w:t>иржа</w:t>
            </w:r>
            <w:r w:rsidR="006C75C3" w:rsidRPr="0075656B">
              <w:rPr>
                <w:rFonts w:ascii="Times New Roman" w:eastAsia="MS Gothic" w:hAnsi="Times New Roman"/>
                <w:sz w:val="16"/>
                <w:szCs w:val="16"/>
              </w:rPr>
              <w:t>: Сектор фондового рынка</w:t>
            </w:r>
          </w:p>
        </w:tc>
      </w:tr>
      <w:tr w:rsidR="008B3194" w:rsidRPr="00D27A8F" w14:paraId="41F822F1" w14:textId="77777777" w:rsidTr="008E01E6">
        <w:trPr>
          <w:trHeight w:val="323"/>
        </w:trPr>
        <w:tc>
          <w:tcPr>
            <w:tcW w:w="562" w:type="dxa"/>
            <w:shd w:val="clear" w:color="auto" w:fill="auto"/>
            <w:vAlign w:val="center"/>
          </w:tcPr>
          <w:p w14:paraId="2F4719D0" w14:textId="529B044B" w:rsidR="008B3194" w:rsidRDefault="00802E57" w:rsidP="00CF7B79">
            <w:pPr>
              <w:pStyle w:val="a4"/>
              <w:spacing w:after="0" w:line="240" w:lineRule="auto"/>
              <w:ind w:left="0"/>
              <w:rPr>
                <w:rFonts w:ascii="Times New Roman" w:eastAsia="MS Gothic" w:hAnsi="Times New Roman"/>
                <w:sz w:val="20"/>
                <w:szCs w:val="20"/>
              </w:rPr>
            </w:pPr>
            <w:sdt>
              <w:sdtPr>
                <w:rPr>
                  <w:rFonts w:ascii="Times New Roman" w:eastAsia="MS Gothic" w:hAnsi="Times New Roman"/>
                  <w:sz w:val="20"/>
                  <w:szCs w:val="20"/>
                </w:rPr>
                <w:id w:val="1468392457"/>
                <w14:checkbox>
                  <w14:checked w14:val="0"/>
                  <w14:checkedState w14:val="2612" w14:font="MS Gothic"/>
                  <w14:uncheckedState w14:val="2610" w14:font="MS Gothic"/>
                </w14:checkbox>
              </w:sdtPr>
              <w:sdtEndPr/>
              <w:sdtContent>
                <w:r w:rsidR="008B3194" w:rsidRPr="0075656B">
                  <w:rPr>
                    <w:rFonts w:ascii="Segoe UI Symbol" w:eastAsia="MS Gothic" w:hAnsi="Segoe UI Symbol" w:cs="Segoe UI Symbol"/>
                    <w:sz w:val="20"/>
                    <w:szCs w:val="20"/>
                  </w:rPr>
                  <w:t>☐</w:t>
                </w:r>
              </w:sdtContent>
            </w:sdt>
          </w:p>
        </w:tc>
        <w:tc>
          <w:tcPr>
            <w:tcW w:w="8914" w:type="dxa"/>
            <w:tcBorders>
              <w:right w:val="single" w:sz="4" w:space="0" w:color="auto"/>
            </w:tcBorders>
            <w:shd w:val="clear" w:color="auto" w:fill="auto"/>
            <w:vAlign w:val="center"/>
          </w:tcPr>
          <w:p w14:paraId="55B5FEAD" w14:textId="427D0077" w:rsidR="008B3194" w:rsidRPr="0075656B" w:rsidRDefault="008B3194" w:rsidP="00E40E57">
            <w:pPr>
              <w:pStyle w:val="a4"/>
              <w:spacing w:after="0" w:line="240" w:lineRule="auto"/>
              <w:ind w:left="0"/>
              <w:rPr>
                <w:rFonts w:ascii="Times New Roman" w:eastAsia="MS Gothic" w:hAnsi="Times New Roman"/>
                <w:sz w:val="16"/>
                <w:szCs w:val="16"/>
              </w:rPr>
            </w:pPr>
            <w:r w:rsidRPr="0075656B">
              <w:rPr>
                <w:rFonts w:ascii="Times New Roman" w:eastAsia="MS Gothic" w:hAnsi="Times New Roman"/>
                <w:sz w:val="16"/>
                <w:szCs w:val="16"/>
              </w:rPr>
              <w:t>ПАО Московская Биржа: Срочный рынок</w:t>
            </w:r>
            <w:r w:rsidR="0041750B">
              <w:rPr>
                <w:rStyle w:val="af5"/>
                <w:rFonts w:ascii="Times New Roman" w:eastAsia="MS Gothic" w:hAnsi="Times New Roman"/>
                <w:sz w:val="16"/>
                <w:szCs w:val="16"/>
              </w:rPr>
              <w:endnoteReference w:id="2"/>
            </w:r>
          </w:p>
        </w:tc>
      </w:tr>
      <w:tr w:rsidR="006C75C3" w:rsidRPr="00D27A8F" w14:paraId="1F075EF1" w14:textId="77777777" w:rsidTr="008E01E6">
        <w:trPr>
          <w:trHeight w:val="323"/>
        </w:trPr>
        <w:tc>
          <w:tcPr>
            <w:tcW w:w="562" w:type="dxa"/>
            <w:shd w:val="clear" w:color="auto" w:fill="auto"/>
            <w:vAlign w:val="center"/>
          </w:tcPr>
          <w:p w14:paraId="16F57E01" w14:textId="77777777" w:rsidR="006C75C3" w:rsidRPr="0075656B" w:rsidRDefault="00802E57" w:rsidP="00CF7B79">
            <w:pPr>
              <w:pStyle w:val="a4"/>
              <w:spacing w:after="0" w:line="240" w:lineRule="auto"/>
              <w:ind w:left="0"/>
              <w:rPr>
                <w:rFonts w:ascii="Times New Roman" w:hAnsi="Times New Roman"/>
                <w:b/>
                <w:sz w:val="16"/>
                <w:szCs w:val="16"/>
                <w:lang w:val="en-US"/>
              </w:rPr>
            </w:pPr>
            <w:sdt>
              <w:sdtPr>
                <w:rPr>
                  <w:rFonts w:ascii="Times New Roman" w:eastAsia="MS Gothic" w:hAnsi="Times New Roman"/>
                  <w:sz w:val="20"/>
                  <w:szCs w:val="20"/>
                </w:rPr>
                <w:id w:val="-1804155312"/>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p>
        </w:tc>
        <w:tc>
          <w:tcPr>
            <w:tcW w:w="8914" w:type="dxa"/>
            <w:tcBorders>
              <w:right w:val="single" w:sz="4" w:space="0" w:color="auto"/>
            </w:tcBorders>
            <w:shd w:val="clear" w:color="auto" w:fill="auto"/>
            <w:vAlign w:val="center"/>
          </w:tcPr>
          <w:p w14:paraId="62EFA7DB" w14:textId="77777777" w:rsidR="006C75C3" w:rsidRPr="0075656B" w:rsidRDefault="00213D47" w:rsidP="00462508">
            <w:pPr>
              <w:pStyle w:val="a4"/>
              <w:spacing w:after="0" w:line="240" w:lineRule="auto"/>
              <w:ind w:left="0"/>
              <w:rPr>
                <w:rFonts w:ascii="Times New Roman" w:eastAsia="MS Gothic" w:hAnsi="Times New Roman"/>
                <w:sz w:val="16"/>
                <w:szCs w:val="16"/>
              </w:rPr>
            </w:pPr>
            <w:r w:rsidRPr="0075656B">
              <w:rPr>
                <w:rFonts w:ascii="Times New Roman" w:eastAsia="MS Gothic" w:hAnsi="Times New Roman"/>
                <w:sz w:val="16"/>
                <w:szCs w:val="16"/>
              </w:rPr>
              <w:t>П</w:t>
            </w:r>
            <w:r w:rsidR="006C75C3" w:rsidRPr="0075656B">
              <w:rPr>
                <w:rFonts w:ascii="Times New Roman" w:eastAsia="MS Gothic" w:hAnsi="Times New Roman"/>
                <w:sz w:val="16"/>
                <w:szCs w:val="16"/>
              </w:rPr>
              <w:t>АО Московская Биржа</w:t>
            </w:r>
            <w:r w:rsidR="006C75C3" w:rsidRPr="0075656B">
              <w:rPr>
                <w:rFonts w:ascii="Times New Roman" w:eastAsia="Times New Roman" w:hAnsi="Times New Roman"/>
                <w:sz w:val="16"/>
                <w:szCs w:val="16"/>
              </w:rPr>
              <w:t>:</w:t>
            </w:r>
            <w:r w:rsidR="006C75C3" w:rsidRPr="0075656B">
              <w:rPr>
                <w:rFonts w:ascii="Times New Roman" w:hAnsi="Times New Roman"/>
                <w:sz w:val="16"/>
                <w:szCs w:val="16"/>
              </w:rPr>
              <w:t xml:space="preserve"> Валютный рынок</w:t>
            </w:r>
            <w:r w:rsidR="002F518F" w:rsidRPr="0075656B">
              <w:rPr>
                <w:rFonts w:ascii="Times New Roman" w:hAnsi="Times New Roman"/>
                <w:sz w:val="16"/>
                <w:szCs w:val="16"/>
              </w:rPr>
              <w:t xml:space="preserve"> и рынок д</w:t>
            </w:r>
            <w:r w:rsidR="00885E8C" w:rsidRPr="0075656B">
              <w:rPr>
                <w:rFonts w:ascii="Times New Roman" w:hAnsi="Times New Roman"/>
                <w:sz w:val="16"/>
                <w:szCs w:val="16"/>
              </w:rPr>
              <w:t>рагоценных металлов</w:t>
            </w:r>
            <w:r w:rsidR="00885E8C" w:rsidRPr="0075656B">
              <w:rPr>
                <w:rStyle w:val="af5"/>
                <w:rFonts w:ascii="Times New Roman" w:hAnsi="Times New Roman"/>
                <w:sz w:val="16"/>
                <w:szCs w:val="16"/>
              </w:rPr>
              <w:endnoteReference w:id="3"/>
            </w:r>
          </w:p>
        </w:tc>
      </w:tr>
    </w:tbl>
    <w:p w14:paraId="6C77A9E8" w14:textId="77777777" w:rsidR="00BA3898" w:rsidRPr="0075656B" w:rsidRDefault="006C75C3" w:rsidP="00CF7B79">
      <w:pPr>
        <w:pStyle w:val="a4"/>
        <w:numPr>
          <w:ilvl w:val="0"/>
          <w:numId w:val="1"/>
        </w:numPr>
        <w:tabs>
          <w:tab w:val="left" w:pos="1134"/>
        </w:tabs>
        <w:spacing w:line="240" w:lineRule="auto"/>
        <w:jc w:val="both"/>
        <w:rPr>
          <w:rFonts w:ascii="Times New Roman" w:eastAsia="MS Gothic" w:hAnsi="Times New Roman"/>
          <w:sz w:val="20"/>
          <w:szCs w:val="20"/>
        </w:rPr>
      </w:pPr>
      <w:r w:rsidRPr="0075656B">
        <w:rPr>
          <w:rFonts w:ascii="Times New Roman" w:eastAsia="MS Gothic" w:hAnsi="Times New Roman"/>
          <w:sz w:val="20"/>
          <w:szCs w:val="20"/>
        </w:rPr>
        <w:t>Регистрация в торговых системах:</w:t>
      </w:r>
    </w:p>
    <w:p w14:paraId="45BE0EA9" w14:textId="77777777" w:rsidR="00CD0209" w:rsidRPr="0075656B" w:rsidRDefault="00CD0209" w:rsidP="00C051DD">
      <w:pPr>
        <w:pStyle w:val="a4"/>
        <w:tabs>
          <w:tab w:val="left" w:pos="1134"/>
        </w:tabs>
        <w:jc w:val="both"/>
        <w:rPr>
          <w:rFonts w:ascii="Times New Roman" w:eastAsia="MS Gothic" w:hAnsi="Times New Roman"/>
          <w:b/>
          <w:sz w:val="20"/>
          <w:szCs w:val="20"/>
        </w:rPr>
      </w:pPr>
    </w:p>
    <w:p w14:paraId="27453A18" w14:textId="68B49FBE" w:rsidR="006C75C3" w:rsidRPr="0075656B" w:rsidRDefault="006C75C3" w:rsidP="00DE4EE0">
      <w:pPr>
        <w:pStyle w:val="a4"/>
        <w:numPr>
          <w:ilvl w:val="0"/>
          <w:numId w:val="1"/>
        </w:numPr>
        <w:tabs>
          <w:tab w:val="left" w:pos="1134"/>
        </w:tabs>
        <w:jc w:val="both"/>
        <w:rPr>
          <w:rFonts w:ascii="Times New Roman" w:eastAsia="MS Gothic" w:hAnsi="Times New Roman"/>
          <w:sz w:val="20"/>
          <w:szCs w:val="20"/>
        </w:rPr>
      </w:pPr>
      <w:r w:rsidRPr="0075656B">
        <w:rPr>
          <w:rFonts w:ascii="Times New Roman" w:eastAsia="MS Gothic" w:hAnsi="Times New Roman"/>
          <w:sz w:val="20"/>
          <w:szCs w:val="20"/>
        </w:rPr>
        <w:t>Тарифный план</w:t>
      </w:r>
      <w:r w:rsidR="00203A39" w:rsidRPr="0075656B">
        <w:rPr>
          <w:rFonts w:ascii="Times New Roman" w:eastAsia="MS Gothic" w:hAnsi="Times New Roman"/>
          <w:sz w:val="20"/>
          <w:szCs w:val="20"/>
        </w:rPr>
        <w:t xml:space="preserve"> </w:t>
      </w:r>
      <w:r w:rsidR="00203A39" w:rsidRPr="0075656B">
        <w:rPr>
          <w:rFonts w:ascii="Times New Roman" w:eastAsia="MS Gothic" w:hAnsi="Times New Roman"/>
          <w:i/>
          <w:sz w:val="20"/>
          <w:szCs w:val="20"/>
        </w:rPr>
        <w:t xml:space="preserve">(уплата вознаграждения Компании не исключает необходимость </w:t>
      </w:r>
      <w:r w:rsidR="00A61DD5" w:rsidRPr="0075656B">
        <w:rPr>
          <w:rFonts w:ascii="Times New Roman" w:eastAsia="MS Gothic" w:hAnsi="Times New Roman"/>
          <w:i/>
          <w:sz w:val="20"/>
          <w:szCs w:val="20"/>
        </w:rPr>
        <w:t xml:space="preserve">уплаты за счет средств Клиента или </w:t>
      </w:r>
      <w:r w:rsidR="00203A39" w:rsidRPr="0075656B">
        <w:rPr>
          <w:rFonts w:ascii="Times New Roman" w:eastAsia="MS Gothic" w:hAnsi="Times New Roman"/>
          <w:i/>
          <w:sz w:val="20"/>
          <w:szCs w:val="20"/>
        </w:rPr>
        <w:t xml:space="preserve">возмещения </w:t>
      </w:r>
      <w:r w:rsidR="00A61DD5" w:rsidRPr="0075656B">
        <w:rPr>
          <w:rFonts w:ascii="Times New Roman" w:eastAsia="MS Gothic" w:hAnsi="Times New Roman"/>
          <w:i/>
          <w:sz w:val="20"/>
          <w:szCs w:val="20"/>
        </w:rPr>
        <w:t xml:space="preserve">за его счет </w:t>
      </w:r>
      <w:r w:rsidR="00203A39" w:rsidRPr="0075656B">
        <w:rPr>
          <w:rFonts w:ascii="Times New Roman" w:eastAsia="MS Gothic" w:hAnsi="Times New Roman"/>
          <w:i/>
          <w:sz w:val="20"/>
          <w:szCs w:val="20"/>
        </w:rPr>
        <w:t xml:space="preserve">расходов, подлежащих </w:t>
      </w:r>
      <w:r w:rsidR="009A08CB" w:rsidRPr="0075656B">
        <w:rPr>
          <w:rFonts w:ascii="Times New Roman" w:eastAsia="MS Gothic" w:hAnsi="Times New Roman"/>
          <w:i/>
          <w:sz w:val="20"/>
          <w:szCs w:val="20"/>
        </w:rPr>
        <w:t xml:space="preserve">уплате или </w:t>
      </w:r>
      <w:r w:rsidR="00203A39" w:rsidRPr="0075656B">
        <w:rPr>
          <w:rFonts w:ascii="Times New Roman" w:eastAsia="MS Gothic" w:hAnsi="Times New Roman"/>
          <w:i/>
          <w:sz w:val="20"/>
          <w:szCs w:val="20"/>
        </w:rPr>
        <w:t xml:space="preserve">возмещению </w:t>
      </w:r>
      <w:r w:rsidR="009A08CB" w:rsidRPr="0075656B">
        <w:rPr>
          <w:rFonts w:ascii="Times New Roman" w:eastAsia="MS Gothic" w:hAnsi="Times New Roman"/>
          <w:i/>
          <w:sz w:val="20"/>
          <w:szCs w:val="20"/>
        </w:rPr>
        <w:t xml:space="preserve">за счет средств Клиента </w:t>
      </w:r>
      <w:r w:rsidR="00203A39" w:rsidRPr="0075656B">
        <w:rPr>
          <w:rFonts w:ascii="Times New Roman" w:eastAsia="MS Gothic" w:hAnsi="Times New Roman"/>
          <w:i/>
          <w:sz w:val="20"/>
          <w:szCs w:val="20"/>
        </w:rPr>
        <w:t xml:space="preserve">в соответствии с положениями Регламента </w:t>
      </w:r>
      <w:r w:rsidR="00D145E5" w:rsidRPr="0075656B">
        <w:rPr>
          <w:rFonts w:ascii="Times New Roman" w:eastAsia="MS Gothic" w:hAnsi="Times New Roman"/>
          <w:i/>
          <w:sz w:val="20"/>
          <w:szCs w:val="20"/>
        </w:rPr>
        <w:t>брокерского обслуживания</w:t>
      </w:r>
      <w:r w:rsidR="00203A39" w:rsidRPr="0075656B">
        <w:rPr>
          <w:rFonts w:ascii="Times New Roman" w:eastAsia="MS Gothic" w:hAnsi="Times New Roman"/>
          <w:i/>
          <w:sz w:val="20"/>
          <w:szCs w:val="20"/>
        </w:rPr>
        <w:t>)</w:t>
      </w:r>
      <w:r w:rsidR="00C051DD" w:rsidRPr="0075656B">
        <w:rPr>
          <w:rFonts w:ascii="Times New Roman" w:eastAsia="MS Gothic" w:hAnsi="Times New Roman"/>
          <w:sz w:val="20"/>
          <w:szCs w:val="20"/>
        </w:rPr>
        <w:t>:</w:t>
      </w:r>
      <w:r w:rsidR="00094C31" w:rsidRPr="0075656B">
        <w:rPr>
          <w:rStyle w:val="af5"/>
          <w:rFonts w:ascii="Times New Roman" w:eastAsia="MS Gothic" w:hAnsi="Times New Roman"/>
          <w:sz w:val="20"/>
          <w:szCs w:val="20"/>
        </w:rPr>
        <w:endnoteReference w:id="4"/>
      </w:r>
    </w:p>
    <w:tbl>
      <w:tblPr>
        <w:tblW w:w="95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966"/>
      </w:tblGrid>
      <w:tr w:rsidR="009B7185" w:rsidRPr="00D27A8F" w14:paraId="03E760F8" w14:textId="77777777" w:rsidTr="00320D22">
        <w:trPr>
          <w:trHeight w:val="303"/>
        </w:trPr>
        <w:tc>
          <w:tcPr>
            <w:tcW w:w="567" w:type="dxa"/>
            <w:tcBorders>
              <w:left w:val="single" w:sz="4" w:space="0" w:color="auto"/>
            </w:tcBorders>
            <w:shd w:val="clear" w:color="auto" w:fill="auto"/>
            <w:vAlign w:val="center"/>
          </w:tcPr>
          <w:p w14:paraId="25D27640" w14:textId="77777777" w:rsidR="009B7185" w:rsidRPr="009B7185" w:rsidRDefault="00802E57" w:rsidP="00E11D62">
            <w:pPr>
              <w:pStyle w:val="a4"/>
              <w:spacing w:after="0"/>
              <w:ind w:left="0"/>
              <w:jc w:val="center"/>
              <w:rPr>
                <w:rFonts w:ascii="Times New Roman" w:eastAsia="MS Gothic" w:hAnsi="Times New Roman"/>
                <w:sz w:val="16"/>
                <w:szCs w:val="16"/>
              </w:rPr>
            </w:pPr>
            <w:sdt>
              <w:sdtPr>
                <w:rPr>
                  <w:rFonts w:ascii="Times New Roman" w:eastAsia="MS Gothic" w:hAnsi="Times New Roman"/>
                  <w:sz w:val="20"/>
                  <w:szCs w:val="20"/>
                </w:rPr>
                <w:id w:val="-2104091780"/>
                <w14:checkbox>
                  <w14:checked w14:val="0"/>
                  <w14:checkedState w14:val="2612" w14:font="MS Gothic"/>
                  <w14:uncheckedState w14:val="2610" w14:font="MS Gothic"/>
                </w14:checkbox>
              </w:sdtPr>
              <w:sdtEndPr/>
              <w:sdtContent>
                <w:r w:rsidR="009B7185" w:rsidRPr="009B7185">
                  <w:rPr>
                    <w:rFonts w:ascii="Segoe UI Symbol" w:eastAsia="MS Gothic" w:hAnsi="Segoe UI Symbol" w:cs="Segoe UI Symbol"/>
                    <w:sz w:val="20"/>
                    <w:szCs w:val="20"/>
                  </w:rPr>
                  <w:t>☐</w:t>
                </w:r>
              </w:sdtContent>
            </w:sdt>
          </w:p>
        </w:tc>
        <w:tc>
          <w:tcPr>
            <w:tcW w:w="8966" w:type="dxa"/>
            <w:shd w:val="clear" w:color="auto" w:fill="auto"/>
            <w:vAlign w:val="center"/>
          </w:tcPr>
          <w:p w14:paraId="0AC6B3AB" w14:textId="3C70B7E8" w:rsidR="009B7185" w:rsidRPr="00B267F9" w:rsidRDefault="009B7185" w:rsidP="005E22AB">
            <w:pPr>
              <w:pStyle w:val="a4"/>
              <w:spacing w:after="0"/>
              <w:ind w:left="0"/>
              <w:rPr>
                <w:rFonts w:ascii="Times New Roman" w:hAnsi="Times New Roman"/>
              </w:rPr>
            </w:pPr>
            <w:r w:rsidRPr="00B267F9">
              <w:rPr>
                <w:rFonts w:ascii="Times New Roman" w:eastAsia="MS Gothic" w:hAnsi="Times New Roman"/>
                <w:sz w:val="16"/>
                <w:szCs w:val="16"/>
              </w:rPr>
              <w:t>Первый</w:t>
            </w:r>
          </w:p>
        </w:tc>
      </w:tr>
      <w:tr w:rsidR="00722710" w:rsidRPr="00D27A8F" w14:paraId="3F6B3C1D" w14:textId="77777777" w:rsidTr="00CA0B23">
        <w:trPr>
          <w:trHeight w:val="303"/>
        </w:trPr>
        <w:tc>
          <w:tcPr>
            <w:tcW w:w="9533" w:type="dxa"/>
            <w:gridSpan w:val="2"/>
            <w:tcBorders>
              <w:left w:val="single" w:sz="4" w:space="0" w:color="auto"/>
            </w:tcBorders>
            <w:shd w:val="clear" w:color="auto" w:fill="auto"/>
            <w:vAlign w:val="center"/>
          </w:tcPr>
          <w:p w14:paraId="442E4DCB" w14:textId="7C11BEF5" w:rsidR="00722710" w:rsidRPr="0075656B" w:rsidRDefault="00722710" w:rsidP="00722710">
            <w:pPr>
              <w:pStyle w:val="a4"/>
              <w:spacing w:after="0"/>
              <w:ind w:left="0"/>
              <w:rPr>
                <w:rFonts w:ascii="Times New Roman" w:eastAsia="MS Gothic" w:hAnsi="Times New Roman"/>
                <w:i/>
                <w:sz w:val="16"/>
                <w:szCs w:val="16"/>
              </w:rPr>
            </w:pPr>
            <w:r w:rsidRPr="0075656B">
              <w:rPr>
                <w:rFonts w:ascii="Times New Roman" w:eastAsia="MS Gothic" w:hAnsi="Times New Roman"/>
                <w:i/>
                <w:sz w:val="16"/>
                <w:szCs w:val="16"/>
              </w:rPr>
              <w:t>По согласованию с Компанией Клиенту устанавливается индивидуальный тарифный план, который может изменять или дополнять базовы</w:t>
            </w:r>
            <w:r w:rsidR="009B7185">
              <w:rPr>
                <w:rFonts w:ascii="Times New Roman" w:eastAsia="MS Gothic" w:hAnsi="Times New Roman"/>
                <w:i/>
                <w:sz w:val="16"/>
                <w:szCs w:val="16"/>
              </w:rPr>
              <w:t>й</w:t>
            </w:r>
            <w:r w:rsidRPr="0075656B">
              <w:rPr>
                <w:rFonts w:ascii="Times New Roman" w:eastAsia="MS Gothic" w:hAnsi="Times New Roman"/>
                <w:i/>
                <w:sz w:val="16"/>
                <w:szCs w:val="16"/>
              </w:rPr>
              <w:t xml:space="preserve"> тарифны</w:t>
            </w:r>
            <w:r w:rsidR="009B7185">
              <w:rPr>
                <w:rFonts w:ascii="Times New Roman" w:eastAsia="MS Gothic" w:hAnsi="Times New Roman"/>
                <w:i/>
                <w:sz w:val="16"/>
                <w:szCs w:val="16"/>
              </w:rPr>
              <w:t>й</w:t>
            </w:r>
            <w:r w:rsidRPr="0075656B">
              <w:rPr>
                <w:rFonts w:ascii="Times New Roman" w:eastAsia="MS Gothic" w:hAnsi="Times New Roman"/>
                <w:i/>
                <w:sz w:val="16"/>
                <w:szCs w:val="16"/>
              </w:rPr>
              <w:t xml:space="preserve"> план.</w:t>
            </w:r>
            <w:r w:rsidRPr="0075656B">
              <w:rPr>
                <w:rStyle w:val="af5"/>
                <w:rFonts w:ascii="Times New Roman" w:eastAsia="MS Gothic" w:hAnsi="Times New Roman"/>
                <w:sz w:val="16"/>
                <w:szCs w:val="16"/>
              </w:rPr>
              <w:endnoteReference w:id="5"/>
            </w:r>
          </w:p>
        </w:tc>
      </w:tr>
    </w:tbl>
    <w:p w14:paraId="0FEDF66F" w14:textId="77777777" w:rsidR="008E01E6" w:rsidRPr="0075656B" w:rsidRDefault="008E01E6" w:rsidP="008E01E6">
      <w:pPr>
        <w:pStyle w:val="a4"/>
        <w:tabs>
          <w:tab w:val="left" w:pos="1134"/>
        </w:tabs>
        <w:jc w:val="both"/>
        <w:rPr>
          <w:rFonts w:ascii="Times New Roman" w:eastAsia="MS Gothic" w:hAnsi="Times New Roman"/>
          <w:b/>
          <w:sz w:val="20"/>
          <w:szCs w:val="20"/>
        </w:rPr>
      </w:pPr>
    </w:p>
    <w:p w14:paraId="3713C842" w14:textId="77777777" w:rsidR="006C75C3" w:rsidRPr="0075656B" w:rsidRDefault="00BA3898" w:rsidP="006C75C3">
      <w:pPr>
        <w:pStyle w:val="a4"/>
        <w:numPr>
          <w:ilvl w:val="0"/>
          <w:numId w:val="1"/>
        </w:numPr>
        <w:tabs>
          <w:tab w:val="left" w:pos="1134"/>
        </w:tabs>
        <w:jc w:val="both"/>
        <w:rPr>
          <w:rFonts w:ascii="Times New Roman" w:eastAsia="MS Gothic" w:hAnsi="Times New Roman"/>
          <w:sz w:val="20"/>
          <w:szCs w:val="20"/>
        </w:rPr>
      </w:pPr>
      <w:r w:rsidRPr="0075656B">
        <w:rPr>
          <w:rFonts w:ascii="Times New Roman" w:eastAsia="MS Gothic" w:hAnsi="Times New Roman"/>
          <w:sz w:val="20"/>
          <w:szCs w:val="20"/>
        </w:rPr>
        <w:t xml:space="preserve">Предоставление доступа к </w:t>
      </w:r>
      <w:r w:rsidR="007F05A7" w:rsidRPr="0075656B">
        <w:rPr>
          <w:rFonts w:ascii="Times New Roman" w:eastAsia="MS Gothic" w:hAnsi="Times New Roman"/>
          <w:sz w:val="20"/>
          <w:szCs w:val="20"/>
        </w:rPr>
        <w:t>С</w:t>
      </w:r>
      <w:r w:rsidRPr="0075656B">
        <w:rPr>
          <w:rFonts w:ascii="Times New Roman" w:eastAsia="MS Gothic" w:hAnsi="Times New Roman"/>
          <w:sz w:val="20"/>
          <w:szCs w:val="20"/>
        </w:rPr>
        <w:t xml:space="preserve">истеме </w:t>
      </w:r>
      <w:r w:rsidR="007F05A7" w:rsidRPr="0075656B">
        <w:rPr>
          <w:rFonts w:ascii="Times New Roman" w:eastAsia="MS Gothic" w:hAnsi="Times New Roman"/>
          <w:sz w:val="20"/>
          <w:szCs w:val="20"/>
        </w:rPr>
        <w:t>и</w:t>
      </w:r>
      <w:r w:rsidRPr="0075656B">
        <w:rPr>
          <w:rFonts w:ascii="Times New Roman" w:eastAsia="MS Gothic" w:hAnsi="Times New Roman"/>
          <w:sz w:val="20"/>
          <w:szCs w:val="20"/>
        </w:rPr>
        <w:t xml:space="preserve">нтернет-трейдинга и права использования </w:t>
      </w:r>
      <w:r w:rsidR="008E01E6" w:rsidRPr="0075656B">
        <w:rPr>
          <w:rFonts w:ascii="Times New Roman" w:eastAsia="MS Gothic" w:hAnsi="Times New Roman"/>
          <w:sz w:val="20"/>
          <w:szCs w:val="20"/>
        </w:rPr>
        <w:t>программного обеспечения</w:t>
      </w:r>
      <w:r w:rsidR="00367D4B" w:rsidRPr="0075656B">
        <w:rPr>
          <w:rFonts w:ascii="Times New Roman" w:eastAsia="MS Gothic" w:hAnsi="Times New Roman"/>
          <w:sz w:val="20"/>
          <w:szCs w:val="20"/>
        </w:rPr>
        <w:t xml:space="preserve"> </w:t>
      </w:r>
      <w:r w:rsidR="006A0CB9" w:rsidRPr="0075656B">
        <w:rPr>
          <w:rFonts w:ascii="Times New Roman" w:eastAsia="MS Gothic" w:hAnsi="Times New Roman"/>
          <w:sz w:val="20"/>
          <w:szCs w:val="20"/>
        </w:rPr>
        <w:t xml:space="preserve">Рабочее место </w:t>
      </w:r>
      <w:r w:rsidR="00367D4B" w:rsidRPr="0075656B">
        <w:rPr>
          <w:rFonts w:ascii="Times New Roman" w:eastAsia="MS Gothic" w:hAnsi="Times New Roman"/>
          <w:sz w:val="20"/>
          <w:szCs w:val="20"/>
          <w:lang w:val="en-US"/>
        </w:rPr>
        <w:t>QUIK</w:t>
      </w:r>
      <w:r w:rsidR="008E01E6" w:rsidRPr="0075656B">
        <w:rPr>
          <w:rFonts w:ascii="Times New Roman" w:eastAsia="MS Gothic" w:hAnsi="Times New Roman"/>
          <w:sz w:val="16"/>
          <w:szCs w:val="16"/>
        </w:rPr>
        <w:t>:</w:t>
      </w:r>
      <w:r w:rsidR="00094C31" w:rsidRPr="0075656B">
        <w:rPr>
          <w:rStyle w:val="af5"/>
          <w:rFonts w:ascii="Times New Roman" w:eastAsia="MS Gothic" w:hAnsi="Times New Roman"/>
          <w:sz w:val="16"/>
          <w:szCs w:val="16"/>
        </w:rPr>
        <w:endnoteReference w:id="6"/>
      </w:r>
    </w:p>
    <w:tbl>
      <w:tblPr>
        <w:tblW w:w="95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3"/>
      </w:tblGrid>
      <w:tr w:rsidR="008E01E6" w:rsidRPr="00D27A8F" w14:paraId="0179DF29" w14:textId="77777777" w:rsidTr="00E11D62">
        <w:trPr>
          <w:trHeight w:val="704"/>
        </w:trPr>
        <w:tc>
          <w:tcPr>
            <w:tcW w:w="9533" w:type="dxa"/>
            <w:tcBorders>
              <w:left w:val="single" w:sz="4" w:space="0" w:color="auto"/>
            </w:tcBorders>
            <w:shd w:val="clear" w:color="auto" w:fill="auto"/>
            <w:vAlign w:val="center"/>
          </w:tcPr>
          <w:p w14:paraId="0CF64DD8" w14:textId="77777777" w:rsidR="00370BFE" w:rsidRPr="0075656B" w:rsidRDefault="00370BFE" w:rsidP="00B52C7C">
            <w:pPr>
              <w:pStyle w:val="a4"/>
              <w:autoSpaceDE w:val="0"/>
              <w:autoSpaceDN w:val="0"/>
              <w:adjustRightInd w:val="0"/>
              <w:spacing w:after="120" w:line="240" w:lineRule="auto"/>
              <w:ind w:left="34"/>
              <w:contextualSpacing w:val="0"/>
              <w:jc w:val="both"/>
              <w:rPr>
                <w:rFonts w:ascii="Times New Roman" w:hAnsi="Times New Roman"/>
                <w:sz w:val="16"/>
                <w:szCs w:val="16"/>
              </w:rPr>
            </w:pPr>
          </w:p>
          <w:p w14:paraId="6014FDFB" w14:textId="01413563" w:rsidR="00812A61" w:rsidRPr="0075656B" w:rsidRDefault="00812A61" w:rsidP="00E11D62">
            <w:pPr>
              <w:pStyle w:val="a4"/>
              <w:autoSpaceDE w:val="0"/>
              <w:autoSpaceDN w:val="0"/>
              <w:adjustRightInd w:val="0"/>
              <w:spacing w:after="120" w:line="240" w:lineRule="auto"/>
              <w:ind w:left="34"/>
              <w:contextualSpacing w:val="0"/>
              <w:jc w:val="both"/>
              <w:rPr>
                <w:rFonts w:ascii="Times New Roman" w:eastAsia="MS Gothic" w:hAnsi="Times New Roman"/>
                <w:sz w:val="16"/>
                <w:szCs w:val="16"/>
              </w:rPr>
            </w:pPr>
            <w:r w:rsidRPr="0075656B">
              <w:rPr>
                <w:rFonts w:ascii="Times New Roman" w:eastAsia="MS Gothic" w:hAnsi="Times New Roman"/>
                <w:sz w:val="16"/>
                <w:szCs w:val="16"/>
              </w:rPr>
              <w:t>Настоящим в соответстви</w:t>
            </w:r>
            <w:r w:rsidR="001F09F3" w:rsidRPr="0075656B">
              <w:rPr>
                <w:rFonts w:ascii="Times New Roman" w:eastAsia="MS Gothic" w:hAnsi="Times New Roman"/>
                <w:sz w:val="16"/>
                <w:szCs w:val="16"/>
              </w:rPr>
              <w:t>и</w:t>
            </w:r>
            <w:r w:rsidRPr="0075656B">
              <w:rPr>
                <w:rFonts w:ascii="Times New Roman" w:eastAsia="MS Gothic" w:hAnsi="Times New Roman"/>
                <w:sz w:val="16"/>
                <w:szCs w:val="16"/>
              </w:rPr>
              <w:t xml:space="preserve"> со статьей 428 Гражданского кодекса РФ полностью </w:t>
            </w:r>
            <w:r w:rsidR="005B2B33" w:rsidRPr="0075656B">
              <w:rPr>
                <w:rFonts w:ascii="Times New Roman" w:eastAsia="MS Gothic" w:hAnsi="Times New Roman"/>
                <w:sz w:val="16"/>
                <w:szCs w:val="16"/>
              </w:rPr>
              <w:t xml:space="preserve">и безусловно </w:t>
            </w:r>
            <w:r w:rsidRPr="0075656B">
              <w:rPr>
                <w:rFonts w:ascii="Times New Roman" w:eastAsia="MS Gothic" w:hAnsi="Times New Roman"/>
                <w:sz w:val="16"/>
                <w:szCs w:val="16"/>
              </w:rPr>
              <w:t xml:space="preserve">принимаю условия </w:t>
            </w:r>
            <w:proofErr w:type="spellStart"/>
            <w:r w:rsidRPr="0075656B">
              <w:rPr>
                <w:rFonts w:ascii="Times New Roman" w:eastAsia="MS Gothic" w:hAnsi="Times New Roman"/>
                <w:sz w:val="16"/>
                <w:szCs w:val="16"/>
              </w:rPr>
              <w:t>Сублицензионного</w:t>
            </w:r>
            <w:proofErr w:type="spellEnd"/>
            <w:r w:rsidRPr="0075656B">
              <w:rPr>
                <w:rFonts w:ascii="Times New Roman" w:eastAsia="MS Gothic" w:hAnsi="Times New Roman"/>
                <w:sz w:val="16"/>
                <w:szCs w:val="16"/>
              </w:rPr>
              <w:t xml:space="preserve"> договора </w:t>
            </w:r>
            <w:r w:rsidR="00367D4B" w:rsidRPr="0075656B">
              <w:rPr>
                <w:rFonts w:ascii="Times New Roman" w:eastAsia="MS Gothic" w:hAnsi="Times New Roman"/>
                <w:sz w:val="16"/>
                <w:szCs w:val="16"/>
              </w:rPr>
              <w:t xml:space="preserve">на использование программного обеспечения </w:t>
            </w:r>
            <w:r w:rsidR="00367D4B" w:rsidRPr="0075656B">
              <w:rPr>
                <w:rFonts w:ascii="Times New Roman" w:eastAsia="MS Gothic" w:hAnsi="Times New Roman"/>
                <w:sz w:val="16"/>
                <w:szCs w:val="16"/>
                <w:lang w:val="en-US"/>
              </w:rPr>
              <w:t>QUIK</w:t>
            </w:r>
            <w:r w:rsidR="00367D4B" w:rsidRPr="0075656B">
              <w:rPr>
                <w:rFonts w:ascii="Times New Roman" w:eastAsia="MS Gothic" w:hAnsi="Times New Roman"/>
                <w:sz w:val="16"/>
                <w:szCs w:val="16"/>
              </w:rPr>
              <w:t xml:space="preserve"> (далее – </w:t>
            </w:r>
            <w:proofErr w:type="spellStart"/>
            <w:r w:rsidR="00367D4B" w:rsidRPr="0075656B">
              <w:rPr>
                <w:rFonts w:ascii="Times New Roman" w:eastAsia="MS Gothic" w:hAnsi="Times New Roman"/>
                <w:sz w:val="16"/>
                <w:szCs w:val="16"/>
              </w:rPr>
              <w:t>Сублицензионный</w:t>
            </w:r>
            <w:proofErr w:type="spellEnd"/>
            <w:r w:rsidR="00367D4B" w:rsidRPr="0075656B">
              <w:rPr>
                <w:rFonts w:ascii="Times New Roman" w:eastAsia="MS Gothic" w:hAnsi="Times New Roman"/>
                <w:sz w:val="16"/>
                <w:szCs w:val="16"/>
              </w:rPr>
              <w:t xml:space="preserve"> договор), </w:t>
            </w:r>
            <w:r w:rsidRPr="0075656B">
              <w:rPr>
                <w:rFonts w:ascii="Times New Roman" w:eastAsia="MS Gothic" w:hAnsi="Times New Roman"/>
                <w:sz w:val="16"/>
                <w:szCs w:val="16"/>
              </w:rPr>
              <w:t xml:space="preserve">форма и условия которого содержатся в Регламенте </w:t>
            </w:r>
            <w:r w:rsidR="003F4B51" w:rsidRPr="0075656B">
              <w:rPr>
                <w:rFonts w:ascii="Times New Roman" w:eastAsia="MS Gothic" w:hAnsi="Times New Roman"/>
                <w:sz w:val="16"/>
                <w:szCs w:val="16"/>
              </w:rPr>
              <w:t>брокерского обслуживания</w:t>
            </w:r>
            <w:r w:rsidRPr="0075656B">
              <w:rPr>
                <w:rFonts w:ascii="Times New Roman" w:eastAsia="MS Gothic" w:hAnsi="Times New Roman"/>
                <w:sz w:val="16"/>
                <w:szCs w:val="16"/>
              </w:rPr>
              <w:t xml:space="preserve">, размещенном на странице Компании в </w:t>
            </w:r>
            <w:r w:rsidR="00DF60CB" w:rsidRPr="0075656B">
              <w:rPr>
                <w:rFonts w:ascii="Times New Roman" w:eastAsia="MS Gothic" w:hAnsi="Times New Roman"/>
                <w:sz w:val="16"/>
                <w:szCs w:val="16"/>
              </w:rPr>
              <w:t>информационно-</w:t>
            </w:r>
            <w:r w:rsidR="00A119E0" w:rsidRPr="0075656B">
              <w:rPr>
                <w:rFonts w:ascii="Times New Roman" w:eastAsia="MS Gothic" w:hAnsi="Times New Roman"/>
                <w:sz w:val="16"/>
                <w:szCs w:val="16"/>
              </w:rPr>
              <w:t>теле</w:t>
            </w:r>
            <w:r w:rsidR="00DF60CB" w:rsidRPr="0075656B">
              <w:rPr>
                <w:rFonts w:ascii="Times New Roman" w:eastAsia="MS Gothic" w:hAnsi="Times New Roman"/>
                <w:sz w:val="16"/>
                <w:szCs w:val="16"/>
              </w:rPr>
              <w:t xml:space="preserve">коммуникационной </w:t>
            </w:r>
            <w:r w:rsidRPr="0075656B">
              <w:rPr>
                <w:rFonts w:ascii="Times New Roman" w:eastAsia="MS Gothic" w:hAnsi="Times New Roman"/>
                <w:sz w:val="16"/>
                <w:szCs w:val="16"/>
              </w:rPr>
              <w:t xml:space="preserve">сети </w:t>
            </w:r>
            <w:r w:rsidR="00DF60CB" w:rsidRPr="0075656B">
              <w:rPr>
                <w:rFonts w:ascii="Times New Roman" w:eastAsia="MS Gothic" w:hAnsi="Times New Roman"/>
                <w:sz w:val="16"/>
                <w:szCs w:val="16"/>
              </w:rPr>
              <w:t>«</w:t>
            </w:r>
            <w:r w:rsidRPr="0075656B">
              <w:rPr>
                <w:rFonts w:ascii="Times New Roman" w:eastAsia="MS Gothic" w:hAnsi="Times New Roman"/>
                <w:sz w:val="16"/>
                <w:szCs w:val="16"/>
              </w:rPr>
              <w:t>Интернет</w:t>
            </w:r>
            <w:r w:rsidR="00DF60CB" w:rsidRPr="0075656B">
              <w:rPr>
                <w:rFonts w:ascii="Times New Roman" w:eastAsia="MS Gothic" w:hAnsi="Times New Roman"/>
                <w:sz w:val="16"/>
                <w:szCs w:val="16"/>
              </w:rPr>
              <w:t>», расположенной</w:t>
            </w:r>
            <w:r w:rsidRPr="0075656B">
              <w:rPr>
                <w:rFonts w:ascii="Times New Roman" w:eastAsia="MS Gothic" w:hAnsi="Times New Roman"/>
                <w:sz w:val="16"/>
                <w:szCs w:val="16"/>
              </w:rPr>
              <w:t xml:space="preserve"> по адресу:</w:t>
            </w:r>
            <w:r w:rsidR="00AF069C" w:rsidRPr="0075656B">
              <w:rPr>
                <w:rFonts w:ascii="Times New Roman" w:eastAsia="MS Gothic" w:hAnsi="Times New Roman"/>
                <w:sz w:val="16"/>
                <w:szCs w:val="16"/>
              </w:rPr>
              <w:t xml:space="preserve"> </w:t>
            </w:r>
            <w:r w:rsidR="00631A8F" w:rsidRPr="00631A8F">
              <w:rPr>
                <w:rFonts w:ascii="Times New Roman" w:eastAsia="MS Gothic" w:hAnsi="Times New Roman"/>
                <w:sz w:val="16"/>
                <w:szCs w:val="16"/>
              </w:rPr>
              <w:t>https://www.ikhorizon.ru/</w:t>
            </w:r>
            <w:r w:rsidRPr="0075656B">
              <w:rPr>
                <w:rFonts w:ascii="Times New Roman" w:eastAsia="MS Gothic" w:hAnsi="Times New Roman"/>
                <w:sz w:val="16"/>
                <w:szCs w:val="16"/>
              </w:rPr>
              <w:t xml:space="preserve">. С даты вступления в силу </w:t>
            </w:r>
            <w:proofErr w:type="spellStart"/>
            <w:r w:rsidRPr="0075656B">
              <w:rPr>
                <w:rFonts w:ascii="Times New Roman" w:eastAsia="MS Gothic" w:hAnsi="Times New Roman"/>
                <w:sz w:val="16"/>
                <w:szCs w:val="16"/>
              </w:rPr>
              <w:t>Сублицензионного</w:t>
            </w:r>
            <w:proofErr w:type="spellEnd"/>
            <w:r w:rsidRPr="0075656B">
              <w:rPr>
                <w:rFonts w:ascii="Times New Roman" w:eastAsia="MS Gothic" w:hAnsi="Times New Roman"/>
                <w:sz w:val="16"/>
                <w:szCs w:val="16"/>
              </w:rPr>
              <w:t xml:space="preserve"> договора, заключаемого на основании настоящего Заявления, принимаю на себя права и обязанности Сублицензиата, как они описаны в Приложении № </w:t>
            </w:r>
            <w:r w:rsidR="00501132" w:rsidRPr="0075656B">
              <w:rPr>
                <w:rFonts w:ascii="Times New Roman" w:eastAsia="MS Gothic" w:hAnsi="Times New Roman"/>
                <w:sz w:val="16"/>
                <w:szCs w:val="16"/>
              </w:rPr>
              <w:t>1</w:t>
            </w:r>
            <w:r w:rsidR="007A56A2">
              <w:rPr>
                <w:rFonts w:ascii="Times New Roman" w:eastAsia="MS Gothic" w:hAnsi="Times New Roman"/>
                <w:sz w:val="16"/>
                <w:szCs w:val="16"/>
              </w:rPr>
              <w:t>0</w:t>
            </w:r>
            <w:r w:rsidRPr="0075656B">
              <w:rPr>
                <w:rFonts w:ascii="Times New Roman" w:eastAsia="MS Gothic" w:hAnsi="Times New Roman"/>
                <w:sz w:val="16"/>
                <w:szCs w:val="16"/>
              </w:rPr>
              <w:t xml:space="preserve"> к Регламенту </w:t>
            </w:r>
            <w:r w:rsidR="003F4B51" w:rsidRPr="0075656B">
              <w:rPr>
                <w:rFonts w:ascii="Times New Roman" w:eastAsia="MS Gothic" w:hAnsi="Times New Roman"/>
                <w:sz w:val="16"/>
                <w:szCs w:val="16"/>
              </w:rPr>
              <w:t>брокерского обслуживания</w:t>
            </w:r>
            <w:r w:rsidRPr="0075656B">
              <w:rPr>
                <w:rFonts w:ascii="Times New Roman" w:eastAsia="MS Gothic" w:hAnsi="Times New Roman"/>
                <w:sz w:val="16"/>
                <w:szCs w:val="16"/>
              </w:rPr>
              <w:t>.</w:t>
            </w:r>
          </w:p>
          <w:p w14:paraId="20606DF6" w14:textId="77777777" w:rsidR="00781477" w:rsidRPr="0075656B" w:rsidRDefault="00812A61" w:rsidP="00E11D62">
            <w:pPr>
              <w:pStyle w:val="a4"/>
              <w:autoSpaceDE w:val="0"/>
              <w:autoSpaceDN w:val="0"/>
              <w:adjustRightInd w:val="0"/>
              <w:spacing w:after="120" w:line="240" w:lineRule="auto"/>
              <w:ind w:left="34"/>
              <w:contextualSpacing w:val="0"/>
              <w:jc w:val="both"/>
              <w:rPr>
                <w:rFonts w:ascii="Times New Roman" w:eastAsia="MS Gothic" w:hAnsi="Times New Roman"/>
                <w:sz w:val="16"/>
                <w:szCs w:val="16"/>
              </w:rPr>
            </w:pPr>
            <w:r w:rsidRPr="0075656B">
              <w:rPr>
                <w:rFonts w:ascii="Times New Roman" w:eastAsia="MS Gothic" w:hAnsi="Times New Roman"/>
                <w:sz w:val="16"/>
                <w:szCs w:val="16"/>
              </w:rPr>
              <w:t>Подписанием настоящего Заявления</w:t>
            </w:r>
            <w:r w:rsidR="00781477" w:rsidRPr="0075656B">
              <w:rPr>
                <w:rFonts w:ascii="Times New Roman" w:eastAsia="MS Gothic" w:hAnsi="Times New Roman"/>
                <w:sz w:val="16"/>
                <w:szCs w:val="16"/>
              </w:rPr>
              <w:t>:</w:t>
            </w:r>
          </w:p>
          <w:p w14:paraId="2E673FCC" w14:textId="3BDE10CE" w:rsidR="00812A61" w:rsidRPr="0075656B" w:rsidRDefault="00812A61" w:rsidP="00E11D62">
            <w:pPr>
              <w:pStyle w:val="a4"/>
              <w:autoSpaceDE w:val="0"/>
              <w:autoSpaceDN w:val="0"/>
              <w:adjustRightInd w:val="0"/>
              <w:spacing w:after="120" w:line="240" w:lineRule="auto"/>
              <w:ind w:left="34"/>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подтверждаю, что с условиями </w:t>
            </w:r>
            <w:proofErr w:type="spellStart"/>
            <w:r w:rsidRPr="0075656B">
              <w:rPr>
                <w:rFonts w:ascii="Times New Roman" w:eastAsia="MS Gothic" w:hAnsi="Times New Roman"/>
                <w:sz w:val="16"/>
                <w:szCs w:val="16"/>
              </w:rPr>
              <w:t>Сублицензионного</w:t>
            </w:r>
            <w:proofErr w:type="spellEnd"/>
            <w:r w:rsidRPr="0075656B">
              <w:rPr>
                <w:rFonts w:ascii="Times New Roman" w:eastAsia="MS Gothic" w:hAnsi="Times New Roman"/>
                <w:sz w:val="16"/>
                <w:szCs w:val="16"/>
              </w:rPr>
              <w:t xml:space="preserve"> договора и Регламента </w:t>
            </w:r>
            <w:r w:rsidR="003F4B51" w:rsidRPr="0075656B">
              <w:rPr>
                <w:rFonts w:ascii="Times New Roman" w:eastAsia="MS Gothic" w:hAnsi="Times New Roman"/>
                <w:sz w:val="16"/>
                <w:szCs w:val="16"/>
              </w:rPr>
              <w:t>брокерского обслуживания</w:t>
            </w:r>
            <w:r w:rsidRPr="0075656B">
              <w:rPr>
                <w:rFonts w:ascii="Times New Roman" w:eastAsia="MS Gothic" w:hAnsi="Times New Roman"/>
                <w:sz w:val="16"/>
                <w:szCs w:val="16"/>
              </w:rPr>
              <w:t xml:space="preserve"> ознакомлен и согласен, их содержание мне полностью понятно</w:t>
            </w:r>
            <w:r w:rsidR="00781477" w:rsidRPr="0075656B">
              <w:rPr>
                <w:rFonts w:ascii="Times New Roman" w:eastAsia="MS Gothic" w:hAnsi="Times New Roman"/>
                <w:sz w:val="16"/>
                <w:szCs w:val="16"/>
              </w:rPr>
              <w:t>;</w:t>
            </w:r>
          </w:p>
          <w:p w14:paraId="4A074F3F" w14:textId="1D023E3A" w:rsidR="0069711C" w:rsidRPr="0075656B" w:rsidRDefault="009664E3" w:rsidP="009664E3">
            <w:pPr>
              <w:pStyle w:val="a4"/>
              <w:autoSpaceDE w:val="0"/>
              <w:autoSpaceDN w:val="0"/>
              <w:adjustRightInd w:val="0"/>
              <w:spacing w:after="120" w:line="240" w:lineRule="auto"/>
              <w:ind w:left="34"/>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прошу </w:t>
            </w:r>
            <w:r w:rsidR="007A77D2">
              <w:rPr>
                <w:rFonts w:ascii="Times New Roman" w:eastAsia="MS Gothic" w:hAnsi="Times New Roman"/>
                <w:sz w:val="16"/>
                <w:szCs w:val="16"/>
              </w:rPr>
              <w:t>Акционерное общество «Инвестиционная компания «Горизонт»</w:t>
            </w:r>
            <w:r w:rsidR="007A77D2"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предоставить доступ к Системе </w:t>
            </w:r>
            <w:r w:rsidR="007F05A7" w:rsidRPr="0075656B">
              <w:rPr>
                <w:rFonts w:ascii="Times New Roman" w:eastAsia="MS Gothic" w:hAnsi="Times New Roman"/>
                <w:sz w:val="16"/>
                <w:szCs w:val="16"/>
              </w:rPr>
              <w:t>и</w:t>
            </w:r>
            <w:r w:rsidRPr="0075656B">
              <w:rPr>
                <w:rFonts w:ascii="Times New Roman" w:eastAsia="MS Gothic" w:hAnsi="Times New Roman"/>
                <w:sz w:val="16"/>
                <w:szCs w:val="16"/>
              </w:rPr>
              <w:t xml:space="preserve">нтернет-трейдинга в соответствии с условиями Регламента </w:t>
            </w:r>
            <w:r w:rsidR="003F4B51" w:rsidRPr="0075656B">
              <w:rPr>
                <w:rFonts w:ascii="Times New Roman" w:eastAsia="MS Gothic" w:hAnsi="Times New Roman"/>
                <w:sz w:val="16"/>
                <w:szCs w:val="16"/>
              </w:rPr>
              <w:t>брокерского обслуживания</w:t>
            </w:r>
            <w:r w:rsidR="00ED1CC1"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и предоставить право использования программного обеспечения Рабочее место </w:t>
            </w:r>
            <w:r w:rsidRPr="0075656B">
              <w:rPr>
                <w:rFonts w:ascii="Times New Roman" w:eastAsia="MS Gothic" w:hAnsi="Times New Roman"/>
                <w:sz w:val="16"/>
                <w:szCs w:val="16"/>
                <w:lang w:val="en-US"/>
              </w:rPr>
              <w:t>QUIK</w:t>
            </w:r>
            <w:r w:rsidR="00ED1CC1" w:rsidRPr="0075656B">
              <w:rPr>
                <w:rFonts w:ascii="Times New Roman" w:eastAsia="MS Gothic" w:hAnsi="Times New Roman"/>
                <w:sz w:val="16"/>
                <w:szCs w:val="16"/>
              </w:rPr>
              <w:t xml:space="preserve"> (количество лицензий (количество одновременно используемых экземпляров программного обеспечения Рабочее место QUIK)</w:t>
            </w:r>
            <w:r w:rsidR="00D27318" w:rsidRPr="0075656B">
              <w:rPr>
                <w:rFonts w:ascii="Times New Roman" w:eastAsia="MS Gothic" w:hAnsi="Times New Roman"/>
                <w:sz w:val="16"/>
                <w:szCs w:val="16"/>
              </w:rPr>
              <w:t>: 1</w:t>
            </w:r>
            <w:r w:rsidR="00ED1CC1" w:rsidRPr="0075656B">
              <w:rPr>
                <w:rFonts w:ascii="Times New Roman" w:eastAsia="MS Gothic" w:hAnsi="Times New Roman"/>
                <w:sz w:val="16"/>
                <w:szCs w:val="16"/>
              </w:rPr>
              <w:t>)</w:t>
            </w:r>
            <w:r w:rsidR="0069711C" w:rsidRPr="0075656B">
              <w:rPr>
                <w:rFonts w:ascii="Times New Roman" w:eastAsia="MS Gothic" w:hAnsi="Times New Roman"/>
                <w:sz w:val="16"/>
                <w:szCs w:val="16"/>
              </w:rPr>
              <w:t>;</w:t>
            </w:r>
          </w:p>
          <w:p w14:paraId="1578116F" w14:textId="77777777" w:rsidR="008E01E6" w:rsidRPr="0075656B" w:rsidRDefault="0069711C" w:rsidP="009664E3">
            <w:pPr>
              <w:pStyle w:val="a4"/>
              <w:autoSpaceDE w:val="0"/>
              <w:autoSpaceDN w:val="0"/>
              <w:adjustRightInd w:val="0"/>
              <w:spacing w:after="120" w:line="240" w:lineRule="auto"/>
              <w:ind w:left="34"/>
              <w:contextualSpacing w:val="0"/>
              <w:jc w:val="both"/>
              <w:rPr>
                <w:rFonts w:ascii="Times New Roman" w:eastAsia="MS Gothic" w:hAnsi="Times New Roman"/>
                <w:sz w:val="16"/>
                <w:szCs w:val="16"/>
              </w:rPr>
            </w:pPr>
            <w:r w:rsidRPr="0075656B">
              <w:rPr>
                <w:rFonts w:ascii="Times New Roman" w:eastAsia="MS Gothic" w:hAnsi="Times New Roman"/>
                <w:sz w:val="16"/>
                <w:szCs w:val="16"/>
              </w:rPr>
              <w:t>заявитель-физическое лицо обязуется обеспечивать конфиденциальность ключа простой электронной подписи, используемой в работе ПО QUIK: связка логин (имя пользователя) - пароль и код, отправляемый посредством сервиса коротких сообщений (СМС) на номер мобильного телефона (при его использовании)</w:t>
            </w:r>
            <w:r w:rsidR="00556C8C" w:rsidRPr="0075656B">
              <w:rPr>
                <w:rFonts w:ascii="Times New Roman" w:eastAsia="MS Gothic" w:hAnsi="Times New Roman"/>
                <w:sz w:val="16"/>
                <w:szCs w:val="16"/>
              </w:rPr>
              <w:t>.</w:t>
            </w:r>
          </w:p>
          <w:p w14:paraId="3A41983B" w14:textId="77777777" w:rsidR="005F6204" w:rsidRPr="0075656B" w:rsidRDefault="0069711C" w:rsidP="006A0CB9">
            <w:pPr>
              <w:autoSpaceDE w:val="0"/>
              <w:autoSpaceDN w:val="0"/>
              <w:adjustRightInd w:val="0"/>
              <w:spacing w:after="120" w:line="240" w:lineRule="auto"/>
              <w:jc w:val="both"/>
              <w:rPr>
                <w:rFonts w:ascii="Times New Roman" w:hAnsi="Times New Roman"/>
              </w:rPr>
            </w:pPr>
            <w:r w:rsidRPr="0075656B">
              <w:rPr>
                <w:rFonts w:ascii="Times New Roman" w:eastAsia="MS Gothic" w:hAnsi="Times New Roman"/>
                <w:sz w:val="16"/>
                <w:szCs w:val="16"/>
              </w:rPr>
              <w:t>Подписание</w:t>
            </w:r>
            <w:r w:rsidR="005F6204" w:rsidRPr="0075656B">
              <w:rPr>
                <w:rFonts w:ascii="Times New Roman" w:eastAsia="MS Gothic" w:hAnsi="Times New Roman"/>
                <w:sz w:val="16"/>
                <w:szCs w:val="16"/>
              </w:rPr>
              <w:t xml:space="preserve"> настоящего Заявления </w:t>
            </w:r>
            <w:r w:rsidRPr="0075656B">
              <w:rPr>
                <w:rFonts w:ascii="Times New Roman" w:eastAsia="MS Gothic" w:hAnsi="Times New Roman"/>
                <w:sz w:val="16"/>
                <w:szCs w:val="16"/>
              </w:rPr>
              <w:t>заявителем-физическим</w:t>
            </w:r>
            <w:r w:rsidR="005F6204" w:rsidRPr="0075656B">
              <w:rPr>
                <w:rFonts w:ascii="Times New Roman" w:eastAsia="MS Gothic" w:hAnsi="Times New Roman"/>
                <w:sz w:val="16"/>
                <w:szCs w:val="16"/>
              </w:rPr>
              <w:t xml:space="preserve"> лицо</w:t>
            </w:r>
            <w:r w:rsidRPr="0075656B">
              <w:rPr>
                <w:rFonts w:ascii="Times New Roman" w:eastAsia="MS Gothic" w:hAnsi="Times New Roman"/>
                <w:sz w:val="16"/>
                <w:szCs w:val="16"/>
              </w:rPr>
              <w:t>м</w:t>
            </w:r>
            <w:r w:rsidR="005F6204" w:rsidRPr="0075656B">
              <w:rPr>
                <w:rFonts w:ascii="Times New Roman" w:eastAsia="MS Gothic" w:hAnsi="Times New Roman"/>
                <w:sz w:val="16"/>
                <w:szCs w:val="16"/>
              </w:rPr>
              <w:t xml:space="preserve"> </w:t>
            </w:r>
            <w:r w:rsidRPr="0075656B">
              <w:rPr>
                <w:rFonts w:ascii="Times New Roman" w:eastAsia="MS Gothic" w:hAnsi="Times New Roman"/>
                <w:sz w:val="16"/>
                <w:szCs w:val="16"/>
              </w:rPr>
              <w:t>является основанием для создания этому заявителю- учетной записи</w:t>
            </w:r>
            <w:r w:rsidR="00475473" w:rsidRPr="0075656B">
              <w:rPr>
                <w:rFonts w:ascii="Times New Roman" w:eastAsia="MS Gothic" w:hAnsi="Times New Roman"/>
                <w:sz w:val="16"/>
                <w:szCs w:val="16"/>
              </w:rPr>
              <w:t xml:space="preserve"> для работы в Системе интернет-трейдинга через Рабочее место QUIK</w:t>
            </w:r>
            <w:r w:rsidR="00556C8C" w:rsidRPr="0075656B">
              <w:rPr>
                <w:rFonts w:ascii="Times New Roman" w:eastAsia="MS Gothic" w:hAnsi="Times New Roman"/>
                <w:sz w:val="16"/>
                <w:szCs w:val="16"/>
              </w:rPr>
              <w:t>.</w:t>
            </w:r>
            <w:r w:rsidR="00475473" w:rsidRPr="0075656B">
              <w:rPr>
                <w:rFonts w:ascii="Times New Roman" w:eastAsia="MS Gothic" w:hAnsi="Times New Roman"/>
                <w:sz w:val="16"/>
                <w:szCs w:val="16"/>
              </w:rPr>
              <w:t xml:space="preserve"> </w:t>
            </w:r>
          </w:p>
        </w:tc>
      </w:tr>
    </w:tbl>
    <w:p w14:paraId="3B72E590" w14:textId="77777777" w:rsidR="00BD5138" w:rsidRPr="0075656B" w:rsidRDefault="00BD5138" w:rsidP="00DD0242">
      <w:pPr>
        <w:pStyle w:val="a4"/>
        <w:tabs>
          <w:tab w:val="left" w:pos="1134"/>
        </w:tabs>
        <w:jc w:val="both"/>
        <w:rPr>
          <w:rFonts w:ascii="Times New Roman" w:eastAsia="MS Gothic" w:hAnsi="Times New Roman"/>
          <w:sz w:val="20"/>
          <w:szCs w:val="20"/>
        </w:rPr>
      </w:pPr>
    </w:p>
    <w:p w14:paraId="41DD8B99" w14:textId="77777777" w:rsidR="004F61DB" w:rsidRPr="0075656B" w:rsidRDefault="004664A2" w:rsidP="00A858AD">
      <w:pPr>
        <w:pStyle w:val="a4"/>
        <w:numPr>
          <w:ilvl w:val="1"/>
          <w:numId w:val="1"/>
        </w:numPr>
        <w:tabs>
          <w:tab w:val="left" w:pos="709"/>
        </w:tabs>
        <w:ind w:left="709" w:hanging="349"/>
        <w:jc w:val="both"/>
        <w:rPr>
          <w:rFonts w:ascii="Times New Roman" w:eastAsia="MS Gothic" w:hAnsi="Times New Roman"/>
          <w:i/>
          <w:sz w:val="20"/>
          <w:szCs w:val="20"/>
        </w:rPr>
      </w:pPr>
      <w:r w:rsidRPr="0075656B">
        <w:rPr>
          <w:rFonts w:ascii="Times New Roman" w:eastAsia="MS Gothic" w:hAnsi="Times New Roman"/>
          <w:sz w:val="20"/>
          <w:szCs w:val="20"/>
        </w:rPr>
        <w:t xml:space="preserve">Заявление о регистрации представителей - физических лиц в Системе </w:t>
      </w:r>
      <w:r w:rsidR="007F05A7" w:rsidRPr="0075656B">
        <w:rPr>
          <w:rFonts w:ascii="Times New Roman" w:eastAsia="MS Gothic" w:hAnsi="Times New Roman"/>
          <w:sz w:val="20"/>
          <w:szCs w:val="20"/>
        </w:rPr>
        <w:t>и</w:t>
      </w:r>
      <w:r w:rsidRPr="0075656B">
        <w:rPr>
          <w:rFonts w:ascii="Times New Roman" w:eastAsia="MS Gothic" w:hAnsi="Times New Roman"/>
          <w:sz w:val="20"/>
          <w:szCs w:val="20"/>
        </w:rPr>
        <w:t>нтернет-</w:t>
      </w:r>
      <w:r w:rsidR="007F05A7" w:rsidRPr="0075656B">
        <w:rPr>
          <w:rFonts w:ascii="Times New Roman" w:eastAsia="MS Gothic" w:hAnsi="Times New Roman"/>
          <w:sz w:val="20"/>
          <w:szCs w:val="20"/>
        </w:rPr>
        <w:t>т</w:t>
      </w:r>
      <w:r w:rsidRPr="0075656B">
        <w:rPr>
          <w:rFonts w:ascii="Times New Roman" w:eastAsia="MS Gothic" w:hAnsi="Times New Roman"/>
          <w:sz w:val="20"/>
          <w:szCs w:val="20"/>
        </w:rPr>
        <w:t>рейдинга</w:t>
      </w:r>
      <w:r w:rsidR="000178D4" w:rsidRPr="0075656B">
        <w:rPr>
          <w:rFonts w:ascii="Times New Roman" w:eastAsia="MS Gothic" w:hAnsi="Times New Roman"/>
          <w:sz w:val="20"/>
          <w:szCs w:val="20"/>
        </w:rPr>
        <w:t xml:space="preserve"> </w:t>
      </w:r>
      <w:r w:rsidRPr="0075656B">
        <w:rPr>
          <w:rFonts w:ascii="Times New Roman" w:eastAsia="MS Gothic" w:hAnsi="Times New Roman"/>
          <w:i/>
          <w:sz w:val="20"/>
          <w:szCs w:val="20"/>
        </w:rPr>
        <w:t>(</w:t>
      </w:r>
      <w:r w:rsidR="004F61DB" w:rsidRPr="0075656B">
        <w:rPr>
          <w:rFonts w:ascii="Times New Roman" w:eastAsia="MS Gothic" w:hAnsi="Times New Roman"/>
          <w:i/>
          <w:sz w:val="20"/>
          <w:szCs w:val="20"/>
        </w:rPr>
        <w:t xml:space="preserve">заполняется юридическими лицами, а также физическими лицами, намеревающимися использовать </w:t>
      </w:r>
      <w:r w:rsidR="006A0CB9" w:rsidRPr="0075656B">
        <w:rPr>
          <w:rFonts w:ascii="Times New Roman" w:eastAsia="MS Gothic" w:hAnsi="Times New Roman"/>
          <w:i/>
          <w:sz w:val="20"/>
          <w:szCs w:val="20"/>
        </w:rPr>
        <w:t xml:space="preserve">программное обеспечение Рабочее место </w:t>
      </w:r>
      <w:r w:rsidR="004F61DB" w:rsidRPr="0075656B">
        <w:rPr>
          <w:rFonts w:ascii="Times New Roman" w:eastAsia="MS Gothic" w:hAnsi="Times New Roman"/>
          <w:i/>
          <w:sz w:val="20"/>
          <w:szCs w:val="20"/>
          <w:lang w:val="en-US"/>
        </w:rPr>
        <w:t>QUIK</w:t>
      </w:r>
      <w:r w:rsidR="004F61DB" w:rsidRPr="0075656B">
        <w:rPr>
          <w:rFonts w:ascii="Times New Roman" w:eastAsia="MS Gothic" w:hAnsi="Times New Roman"/>
          <w:i/>
          <w:sz w:val="20"/>
          <w:szCs w:val="20"/>
        </w:rPr>
        <w:t xml:space="preserve"> через св</w:t>
      </w:r>
      <w:r w:rsidR="00DA6D77" w:rsidRPr="0075656B">
        <w:rPr>
          <w:rFonts w:ascii="Times New Roman" w:eastAsia="MS Gothic" w:hAnsi="Times New Roman"/>
          <w:i/>
          <w:sz w:val="20"/>
          <w:szCs w:val="20"/>
        </w:rPr>
        <w:t>о</w:t>
      </w:r>
      <w:r w:rsidR="004F61DB" w:rsidRPr="0075656B">
        <w:rPr>
          <w:rFonts w:ascii="Times New Roman" w:eastAsia="MS Gothic" w:hAnsi="Times New Roman"/>
          <w:i/>
          <w:sz w:val="20"/>
          <w:szCs w:val="20"/>
        </w:rPr>
        <w:t>их уполномоченных представителей</w:t>
      </w:r>
      <w:r w:rsidRPr="0075656B">
        <w:rPr>
          <w:rFonts w:ascii="Times New Roman" w:eastAsia="MS Gothic" w:hAnsi="Times New Roman"/>
          <w:i/>
          <w:sz w:val="20"/>
          <w:szCs w:val="20"/>
        </w:rPr>
        <w:t>)</w:t>
      </w:r>
    </w:p>
    <w:tbl>
      <w:tblPr>
        <w:tblStyle w:val="af6"/>
        <w:tblW w:w="9498" w:type="dxa"/>
        <w:tblInd w:w="-5" w:type="dxa"/>
        <w:tblLook w:val="04A0" w:firstRow="1" w:lastRow="0" w:firstColumn="1" w:lastColumn="0" w:noHBand="0" w:noVBand="1"/>
      </w:tblPr>
      <w:tblGrid>
        <w:gridCol w:w="9498"/>
      </w:tblGrid>
      <w:tr w:rsidR="004F61DB" w:rsidRPr="00D27A8F" w14:paraId="5F4EC32C" w14:textId="77777777" w:rsidTr="00CA0B23">
        <w:tc>
          <w:tcPr>
            <w:tcW w:w="9498" w:type="dxa"/>
          </w:tcPr>
          <w:p w14:paraId="6B413A0E" w14:textId="19FE48C7" w:rsidR="004F61DB" w:rsidRPr="0075656B" w:rsidRDefault="00802E57" w:rsidP="00CA0B23">
            <w:pPr>
              <w:pStyle w:val="a4"/>
              <w:tabs>
                <w:tab w:val="left" w:pos="709"/>
              </w:tabs>
              <w:spacing w:before="120" w:after="120" w:line="240" w:lineRule="auto"/>
              <w:ind w:left="0"/>
              <w:contextualSpacing w:val="0"/>
              <w:jc w:val="both"/>
              <w:rPr>
                <w:rFonts w:ascii="Times New Roman" w:eastAsia="MS Gothic" w:hAnsi="Times New Roman"/>
                <w:sz w:val="16"/>
                <w:szCs w:val="16"/>
              </w:rPr>
            </w:pPr>
            <w:sdt>
              <w:sdtPr>
                <w:rPr>
                  <w:rFonts w:ascii="Times New Roman" w:eastAsia="MS Gothic" w:hAnsi="Times New Roman"/>
                  <w:sz w:val="20"/>
                  <w:szCs w:val="20"/>
                </w:rPr>
                <w:id w:val="1165901465"/>
                <w14:checkbox>
                  <w14:checked w14:val="0"/>
                  <w14:checkedState w14:val="2612" w14:font="MS Gothic"/>
                  <w14:uncheckedState w14:val="2610" w14:font="MS Gothic"/>
                </w14:checkbox>
              </w:sdtPr>
              <w:sdtEndPr/>
              <w:sdtContent>
                <w:r w:rsidR="00F167BA" w:rsidRPr="0075656B">
                  <w:rPr>
                    <w:rFonts w:ascii="Segoe UI Symbol" w:eastAsia="MS Gothic" w:hAnsi="Segoe UI Symbol" w:cs="Segoe UI Symbol"/>
                    <w:sz w:val="20"/>
                    <w:szCs w:val="20"/>
                  </w:rPr>
                  <w:t>☐</w:t>
                </w:r>
              </w:sdtContent>
            </w:sdt>
            <w:r w:rsidR="00806534" w:rsidRPr="0075656B">
              <w:rPr>
                <w:rFonts w:ascii="Times New Roman" w:eastAsia="MS Gothic" w:hAnsi="Times New Roman"/>
                <w:sz w:val="16"/>
                <w:szCs w:val="16"/>
              </w:rPr>
              <w:t xml:space="preserve"> </w:t>
            </w:r>
            <w:r w:rsidR="004F61DB" w:rsidRPr="0075656B">
              <w:rPr>
                <w:rFonts w:ascii="Times New Roman" w:eastAsia="MS Gothic" w:hAnsi="Times New Roman"/>
                <w:sz w:val="16"/>
                <w:szCs w:val="16"/>
              </w:rPr>
              <w:t xml:space="preserve">прошу зарегистрировать указанных ниже физических лиц в качестве уполномоченных представителей, имеющих право использовать </w:t>
            </w:r>
            <w:r w:rsidR="006A0CB9" w:rsidRPr="0075656B">
              <w:rPr>
                <w:rFonts w:ascii="Times New Roman" w:eastAsia="MS Gothic" w:hAnsi="Times New Roman"/>
                <w:sz w:val="16"/>
                <w:szCs w:val="16"/>
              </w:rPr>
              <w:t>программное обеспечение Рабочее место</w:t>
            </w:r>
            <w:r w:rsidR="00747CD0" w:rsidRPr="0075656B">
              <w:rPr>
                <w:rFonts w:ascii="Times New Roman" w:eastAsia="MS Gothic" w:hAnsi="Times New Roman"/>
                <w:sz w:val="16"/>
                <w:szCs w:val="16"/>
              </w:rPr>
              <w:t xml:space="preserve"> </w:t>
            </w:r>
            <w:r w:rsidR="00747CD0" w:rsidRPr="0075656B">
              <w:rPr>
                <w:rFonts w:ascii="Times New Roman" w:eastAsia="MS Gothic" w:hAnsi="Times New Roman"/>
                <w:sz w:val="16"/>
                <w:szCs w:val="16"/>
                <w:lang w:val="en-US"/>
              </w:rPr>
              <w:t>QUIK</w:t>
            </w:r>
            <w:r w:rsidR="004F61DB" w:rsidRPr="0075656B">
              <w:rPr>
                <w:rFonts w:ascii="Times New Roman" w:eastAsia="MS Gothic" w:hAnsi="Times New Roman"/>
                <w:sz w:val="16"/>
                <w:szCs w:val="16"/>
              </w:rPr>
              <w:t xml:space="preserve"> </w:t>
            </w:r>
            <w:r w:rsidR="002E66C5" w:rsidRPr="0075656B">
              <w:rPr>
                <w:rFonts w:ascii="Times New Roman" w:eastAsia="MS Gothic" w:hAnsi="Times New Roman"/>
                <w:sz w:val="16"/>
                <w:szCs w:val="16"/>
              </w:rPr>
              <w:t>в соответствии с указанным видом учетной записи</w:t>
            </w:r>
            <w:r w:rsidR="004D1273" w:rsidRPr="0075656B">
              <w:rPr>
                <w:rFonts w:ascii="Times New Roman" w:eastAsia="MS Gothic" w:hAnsi="Times New Roman"/>
                <w:sz w:val="16"/>
                <w:szCs w:val="16"/>
              </w:rPr>
              <w:t xml:space="preserve">; настоящим подтверждаю, что признаю информацию в электронной форме, подписанную простой электронной подписью уполномоченного представителя в порядке установленном Регламентом </w:t>
            </w:r>
            <w:r w:rsidR="003F4B51" w:rsidRPr="0075656B">
              <w:rPr>
                <w:rFonts w:ascii="Times New Roman" w:eastAsia="MS Gothic" w:hAnsi="Times New Roman"/>
                <w:sz w:val="16"/>
                <w:szCs w:val="16"/>
              </w:rPr>
              <w:t>брокерского обслуживания</w:t>
            </w:r>
            <w:r w:rsidR="004D1273" w:rsidRPr="0075656B">
              <w:rPr>
                <w:rFonts w:ascii="Times New Roman" w:eastAsia="MS Gothic" w:hAnsi="Times New Roman"/>
                <w:sz w:val="16"/>
                <w:szCs w:val="16"/>
              </w:rPr>
              <w:t>, электронным документом, равнозначным документу на бумажном носителе, подписанным собственноручной подписью этого уполномоченного представителей</w:t>
            </w:r>
            <w:r w:rsidR="002E66C5" w:rsidRPr="0075656B">
              <w:rPr>
                <w:rFonts w:ascii="Times New Roman" w:eastAsia="MS Gothic" w:hAnsi="Times New Roman"/>
                <w:sz w:val="16"/>
                <w:szCs w:val="16"/>
              </w:rPr>
              <w:t>:</w:t>
            </w:r>
          </w:p>
          <w:p w14:paraId="405D243F" w14:textId="77777777" w:rsidR="004F61DB" w:rsidRPr="0075656B" w:rsidRDefault="004F61DB" w:rsidP="004F61DB">
            <w:pPr>
              <w:pStyle w:val="a4"/>
              <w:tabs>
                <w:tab w:val="left" w:pos="709"/>
              </w:tabs>
              <w:ind w:left="0"/>
              <w:jc w:val="both"/>
              <w:rPr>
                <w:rFonts w:ascii="Times New Roman" w:eastAsia="MS Gothic" w:hAnsi="Times New Roman"/>
                <w:sz w:val="16"/>
                <w:szCs w:val="16"/>
              </w:rPr>
            </w:pPr>
          </w:p>
          <w:tbl>
            <w:tblPr>
              <w:tblStyle w:val="af6"/>
              <w:tblW w:w="0" w:type="auto"/>
              <w:tblLook w:val="04A0" w:firstRow="1" w:lastRow="0" w:firstColumn="1" w:lastColumn="0" w:noHBand="0" w:noVBand="1"/>
            </w:tblPr>
            <w:tblGrid>
              <w:gridCol w:w="426"/>
              <w:gridCol w:w="5275"/>
              <w:gridCol w:w="3538"/>
            </w:tblGrid>
            <w:tr w:rsidR="006A0CB9" w:rsidRPr="00D27A8F" w14:paraId="3B4CA7A1" w14:textId="77777777" w:rsidTr="0075656B">
              <w:tc>
                <w:tcPr>
                  <w:tcW w:w="426" w:type="dxa"/>
                  <w:vAlign w:val="center"/>
                </w:tcPr>
                <w:p w14:paraId="504453C9" w14:textId="77777777" w:rsidR="006A0CB9" w:rsidRPr="0075656B" w:rsidRDefault="006A0CB9" w:rsidP="00CA0B23">
                  <w:pPr>
                    <w:pStyle w:val="a4"/>
                    <w:spacing w:after="0"/>
                    <w:ind w:left="0"/>
                    <w:rPr>
                      <w:rFonts w:ascii="Times New Roman" w:eastAsia="MS Gothic" w:hAnsi="Times New Roman"/>
                      <w:sz w:val="16"/>
                      <w:szCs w:val="16"/>
                    </w:rPr>
                  </w:pPr>
                  <w:r w:rsidRPr="0075656B">
                    <w:rPr>
                      <w:rFonts w:ascii="Times New Roman" w:eastAsia="MS Gothic" w:hAnsi="Times New Roman"/>
                      <w:sz w:val="16"/>
                      <w:szCs w:val="16"/>
                    </w:rPr>
                    <w:t>№</w:t>
                  </w:r>
                </w:p>
              </w:tc>
              <w:tc>
                <w:tcPr>
                  <w:tcW w:w="5275" w:type="dxa"/>
                  <w:vAlign w:val="center"/>
                </w:tcPr>
                <w:p w14:paraId="684F2A1F" w14:textId="77777777" w:rsidR="006A0CB9" w:rsidRPr="0075656B" w:rsidRDefault="006A0CB9" w:rsidP="00CA0B23">
                  <w:pPr>
                    <w:pStyle w:val="a4"/>
                    <w:spacing w:after="0"/>
                    <w:ind w:left="0"/>
                    <w:jc w:val="center"/>
                    <w:rPr>
                      <w:rFonts w:ascii="Times New Roman" w:eastAsia="MS Gothic" w:hAnsi="Times New Roman"/>
                      <w:sz w:val="16"/>
                      <w:szCs w:val="16"/>
                    </w:rPr>
                  </w:pPr>
                  <w:r w:rsidRPr="0075656B">
                    <w:rPr>
                      <w:rFonts w:ascii="Times New Roman" w:eastAsia="MS Gothic" w:hAnsi="Times New Roman"/>
                      <w:sz w:val="16"/>
                      <w:szCs w:val="16"/>
                    </w:rPr>
                    <w:t>Фамилия, имя, отчество</w:t>
                  </w:r>
                </w:p>
              </w:tc>
              <w:tc>
                <w:tcPr>
                  <w:tcW w:w="3538" w:type="dxa"/>
                </w:tcPr>
                <w:p w14:paraId="400FDAE0" w14:textId="77777777" w:rsidR="006A0CB9" w:rsidRPr="0075656B" w:rsidRDefault="006A0CB9">
                  <w:pPr>
                    <w:pStyle w:val="a4"/>
                    <w:spacing w:after="0"/>
                    <w:ind w:left="0"/>
                    <w:jc w:val="center"/>
                    <w:rPr>
                      <w:rFonts w:ascii="Times New Roman" w:eastAsia="MS Gothic" w:hAnsi="Times New Roman"/>
                      <w:sz w:val="16"/>
                      <w:szCs w:val="16"/>
                    </w:rPr>
                  </w:pPr>
                  <w:r w:rsidRPr="0075656B">
                    <w:rPr>
                      <w:rFonts w:ascii="Times New Roman" w:eastAsia="MS Gothic" w:hAnsi="Times New Roman"/>
                      <w:sz w:val="16"/>
                      <w:szCs w:val="16"/>
                    </w:rPr>
                    <w:t>Вид учетной записи</w:t>
                  </w:r>
                </w:p>
              </w:tc>
            </w:tr>
            <w:tr w:rsidR="006A0CB9" w:rsidRPr="00D27A8F" w14:paraId="60D6B9E4" w14:textId="77777777" w:rsidTr="0075656B">
              <w:trPr>
                <w:trHeight w:val="227"/>
              </w:trPr>
              <w:tc>
                <w:tcPr>
                  <w:tcW w:w="426" w:type="dxa"/>
                  <w:vAlign w:val="center"/>
                </w:tcPr>
                <w:p w14:paraId="06C7A6AE" w14:textId="77777777" w:rsidR="006A0CB9" w:rsidRPr="0075656B" w:rsidRDefault="006A0CB9" w:rsidP="00CA0B23">
                  <w:pPr>
                    <w:pStyle w:val="a4"/>
                    <w:spacing w:after="0"/>
                    <w:ind w:left="0"/>
                    <w:rPr>
                      <w:rFonts w:ascii="Times New Roman" w:eastAsia="MS Gothic" w:hAnsi="Times New Roman"/>
                      <w:sz w:val="16"/>
                      <w:szCs w:val="16"/>
                    </w:rPr>
                  </w:pPr>
                </w:p>
              </w:tc>
              <w:tc>
                <w:tcPr>
                  <w:tcW w:w="5275" w:type="dxa"/>
                  <w:vAlign w:val="center"/>
                </w:tcPr>
                <w:p w14:paraId="345216DC" w14:textId="77777777" w:rsidR="006A0CB9" w:rsidRPr="0075656B" w:rsidRDefault="006A0CB9" w:rsidP="00CA0B23">
                  <w:pPr>
                    <w:pStyle w:val="a4"/>
                    <w:spacing w:after="0"/>
                    <w:ind w:left="0"/>
                    <w:rPr>
                      <w:rFonts w:ascii="Times New Roman" w:eastAsia="MS Gothic" w:hAnsi="Times New Roman"/>
                      <w:sz w:val="16"/>
                      <w:szCs w:val="16"/>
                    </w:rPr>
                  </w:pPr>
                </w:p>
              </w:tc>
              <w:tc>
                <w:tcPr>
                  <w:tcW w:w="3538" w:type="dxa"/>
                </w:tcPr>
                <w:p w14:paraId="4C43D1DC" w14:textId="77777777" w:rsidR="006A0CB9" w:rsidRPr="0075656B" w:rsidRDefault="00802E57">
                  <w:pPr>
                    <w:pStyle w:val="a4"/>
                    <w:spacing w:after="0"/>
                    <w:ind w:left="0"/>
                    <w:rPr>
                      <w:rFonts w:ascii="Times New Roman" w:eastAsia="MS Gothic" w:hAnsi="Times New Roman"/>
                      <w:b/>
                      <w:i/>
                      <w:sz w:val="16"/>
                      <w:szCs w:val="16"/>
                    </w:rPr>
                  </w:pPr>
                  <w:sdt>
                    <w:sdtPr>
                      <w:rPr>
                        <w:rFonts w:ascii="Times New Roman" w:eastAsia="MS Gothic" w:hAnsi="Times New Roman"/>
                        <w:b/>
                        <w:i/>
                        <w:sz w:val="16"/>
                        <w:szCs w:val="16"/>
                      </w:rPr>
                      <w:id w:val="1058131015"/>
                      <w:placeholder>
                        <w:docPart w:val="F67C0DFA32A943E89C3606659FDA289C"/>
                      </w:placeholder>
                      <w:comboBox>
                        <w:listItem w:displayText="-" w:value="-"/>
                        <w:listItem w:displayText="с правом подачи любых поручений, предусмотренных ПО QUIK" w:value="с правом подачи любых поручений, предусмотренных ПО QUIK"/>
                        <w:listItem w:displayText="просмотровый режим (без права подачи поручений)" w:value="просмотровый режим (без права подачи поручений)"/>
                      </w:comboBox>
                    </w:sdtPr>
                    <w:sdtEndPr/>
                    <w:sdtContent>
                      <w:r w:rsidR="009770AC" w:rsidRPr="0075656B">
                        <w:rPr>
                          <w:rFonts w:ascii="Times New Roman" w:eastAsia="MS Gothic" w:hAnsi="Times New Roman"/>
                          <w:b/>
                          <w:i/>
                          <w:sz w:val="16"/>
                          <w:szCs w:val="16"/>
                        </w:rPr>
                        <w:t>---</w:t>
                      </w:r>
                    </w:sdtContent>
                  </w:sdt>
                </w:p>
              </w:tc>
            </w:tr>
            <w:tr w:rsidR="006A0CB9" w:rsidRPr="00D27A8F" w14:paraId="696FD1E9" w14:textId="77777777" w:rsidTr="0075656B">
              <w:tc>
                <w:tcPr>
                  <w:tcW w:w="426" w:type="dxa"/>
                  <w:vAlign w:val="center"/>
                </w:tcPr>
                <w:p w14:paraId="28A638EB" w14:textId="77777777" w:rsidR="006A0CB9" w:rsidRPr="0075656B" w:rsidRDefault="006A0CB9" w:rsidP="00CA0B23">
                  <w:pPr>
                    <w:pStyle w:val="a4"/>
                    <w:spacing w:after="0"/>
                    <w:ind w:left="0"/>
                    <w:rPr>
                      <w:rFonts w:ascii="Times New Roman" w:eastAsia="MS Gothic" w:hAnsi="Times New Roman"/>
                      <w:sz w:val="16"/>
                      <w:szCs w:val="16"/>
                    </w:rPr>
                  </w:pPr>
                </w:p>
              </w:tc>
              <w:tc>
                <w:tcPr>
                  <w:tcW w:w="5275" w:type="dxa"/>
                  <w:vAlign w:val="center"/>
                </w:tcPr>
                <w:p w14:paraId="0BE26817" w14:textId="77777777" w:rsidR="006A0CB9" w:rsidRPr="0075656B" w:rsidRDefault="006A0CB9" w:rsidP="00CA0B23">
                  <w:pPr>
                    <w:pStyle w:val="a4"/>
                    <w:spacing w:after="0"/>
                    <w:ind w:left="0"/>
                    <w:rPr>
                      <w:rFonts w:ascii="Times New Roman" w:eastAsia="MS Gothic" w:hAnsi="Times New Roman"/>
                      <w:sz w:val="16"/>
                      <w:szCs w:val="16"/>
                    </w:rPr>
                  </w:pPr>
                </w:p>
              </w:tc>
              <w:tc>
                <w:tcPr>
                  <w:tcW w:w="3538" w:type="dxa"/>
                </w:tcPr>
                <w:p w14:paraId="07BFF03C" w14:textId="77777777" w:rsidR="006A0CB9" w:rsidRPr="0075656B" w:rsidRDefault="00802E57">
                  <w:pPr>
                    <w:pStyle w:val="a4"/>
                    <w:spacing w:after="0"/>
                    <w:ind w:left="0"/>
                    <w:rPr>
                      <w:rFonts w:ascii="Times New Roman" w:eastAsia="MS Gothic" w:hAnsi="Times New Roman"/>
                      <w:b/>
                      <w:i/>
                      <w:sz w:val="20"/>
                      <w:szCs w:val="20"/>
                    </w:rPr>
                  </w:pPr>
                  <w:sdt>
                    <w:sdtPr>
                      <w:rPr>
                        <w:rFonts w:ascii="Times New Roman" w:eastAsia="MS Gothic" w:hAnsi="Times New Roman"/>
                        <w:b/>
                        <w:i/>
                        <w:sz w:val="16"/>
                        <w:szCs w:val="16"/>
                      </w:rPr>
                      <w:id w:val="1923986622"/>
                      <w:placeholder>
                        <w:docPart w:val="62D666EC8D564FCB9574326AF94EA7D2"/>
                      </w:placeholder>
                      <w:comboBox>
                        <w:listItem w:displayText="-" w:value="-"/>
                        <w:listItem w:displayText="с правом подачи любых поручений, предусмотренных ПО QUIK" w:value="с правом подачи любых поручений, предусмотренных ПО QUIK"/>
                        <w:listItem w:displayText="просмотровый режим (без права подачи поручений)" w:value="просмотровый режим (без права подачи поручений)"/>
                      </w:comboBox>
                    </w:sdtPr>
                    <w:sdtEndPr/>
                    <w:sdtContent>
                      <w:r w:rsidR="009770AC" w:rsidRPr="0075656B">
                        <w:rPr>
                          <w:rFonts w:ascii="Times New Roman" w:eastAsia="MS Gothic" w:hAnsi="Times New Roman"/>
                          <w:b/>
                          <w:i/>
                          <w:sz w:val="16"/>
                          <w:szCs w:val="16"/>
                        </w:rPr>
                        <w:t>---</w:t>
                      </w:r>
                    </w:sdtContent>
                  </w:sdt>
                </w:p>
              </w:tc>
            </w:tr>
            <w:tr w:rsidR="006A0CB9" w:rsidRPr="00D27A8F" w14:paraId="45420335" w14:textId="77777777" w:rsidTr="0075656B">
              <w:tc>
                <w:tcPr>
                  <w:tcW w:w="426" w:type="dxa"/>
                  <w:vAlign w:val="center"/>
                </w:tcPr>
                <w:p w14:paraId="01D4C69E" w14:textId="77777777" w:rsidR="006A0CB9" w:rsidRPr="0075656B" w:rsidRDefault="006A0CB9" w:rsidP="00CA0B23">
                  <w:pPr>
                    <w:pStyle w:val="a4"/>
                    <w:spacing w:after="0"/>
                    <w:ind w:left="0"/>
                    <w:rPr>
                      <w:rFonts w:ascii="Times New Roman" w:eastAsia="MS Gothic" w:hAnsi="Times New Roman"/>
                      <w:sz w:val="16"/>
                      <w:szCs w:val="16"/>
                    </w:rPr>
                  </w:pPr>
                </w:p>
              </w:tc>
              <w:tc>
                <w:tcPr>
                  <w:tcW w:w="5275" w:type="dxa"/>
                  <w:vAlign w:val="center"/>
                </w:tcPr>
                <w:p w14:paraId="5AD44F3F" w14:textId="77777777" w:rsidR="006A0CB9" w:rsidRPr="0075656B" w:rsidRDefault="006A0CB9" w:rsidP="00CA0B23">
                  <w:pPr>
                    <w:pStyle w:val="a4"/>
                    <w:spacing w:after="0"/>
                    <w:ind w:left="0"/>
                    <w:rPr>
                      <w:rFonts w:ascii="Times New Roman" w:eastAsia="MS Gothic" w:hAnsi="Times New Roman"/>
                      <w:sz w:val="16"/>
                      <w:szCs w:val="16"/>
                    </w:rPr>
                  </w:pPr>
                </w:p>
              </w:tc>
              <w:tc>
                <w:tcPr>
                  <w:tcW w:w="3538" w:type="dxa"/>
                </w:tcPr>
                <w:p w14:paraId="1DF11868" w14:textId="77777777" w:rsidR="006A0CB9" w:rsidRPr="0075656B" w:rsidRDefault="00802E57">
                  <w:pPr>
                    <w:pStyle w:val="a4"/>
                    <w:spacing w:after="0"/>
                    <w:ind w:left="0"/>
                    <w:rPr>
                      <w:rFonts w:ascii="Times New Roman" w:eastAsia="MS Gothic" w:hAnsi="Times New Roman"/>
                      <w:b/>
                      <w:i/>
                      <w:sz w:val="20"/>
                      <w:szCs w:val="20"/>
                    </w:rPr>
                  </w:pPr>
                  <w:sdt>
                    <w:sdtPr>
                      <w:rPr>
                        <w:rFonts w:ascii="Times New Roman" w:eastAsia="MS Gothic" w:hAnsi="Times New Roman"/>
                        <w:b/>
                        <w:i/>
                        <w:sz w:val="16"/>
                        <w:szCs w:val="16"/>
                      </w:rPr>
                      <w:id w:val="1852602510"/>
                      <w:placeholder>
                        <w:docPart w:val="90CD206605B24B39A4AEB85ADA618550"/>
                      </w:placeholder>
                      <w:comboBox>
                        <w:listItem w:displayText="-" w:value="-"/>
                        <w:listItem w:displayText="с правом подачи любых поручений, предусмотренных ПО QUIK" w:value="с правом подачи любых поручений, предусмотренных ПО QUIK"/>
                        <w:listItem w:displayText="просмотровый режим (без права подачи поручений)" w:value="просмотровый режим (без права подачи поручений)"/>
                      </w:comboBox>
                    </w:sdtPr>
                    <w:sdtEndPr/>
                    <w:sdtContent>
                      <w:r w:rsidR="009770AC" w:rsidRPr="0075656B">
                        <w:rPr>
                          <w:rFonts w:ascii="Times New Roman" w:eastAsia="MS Gothic" w:hAnsi="Times New Roman"/>
                          <w:b/>
                          <w:i/>
                          <w:sz w:val="16"/>
                          <w:szCs w:val="16"/>
                        </w:rPr>
                        <w:t>---</w:t>
                      </w:r>
                    </w:sdtContent>
                  </w:sdt>
                </w:p>
              </w:tc>
            </w:tr>
          </w:tbl>
          <w:p w14:paraId="1081CF4A" w14:textId="77777777" w:rsidR="004F61DB" w:rsidRPr="0075656B" w:rsidRDefault="006026BB" w:rsidP="00CA0B23">
            <w:pPr>
              <w:pStyle w:val="a4"/>
              <w:numPr>
                <w:ilvl w:val="0"/>
                <w:numId w:val="16"/>
              </w:numPr>
              <w:tabs>
                <w:tab w:val="left" w:pos="709"/>
              </w:tabs>
              <w:spacing w:before="120" w:after="120" w:line="240" w:lineRule="auto"/>
              <w:contextualSpacing w:val="0"/>
              <w:jc w:val="both"/>
              <w:rPr>
                <w:rFonts w:ascii="Times New Roman" w:eastAsia="MS Gothic" w:hAnsi="Times New Roman"/>
                <w:sz w:val="16"/>
                <w:szCs w:val="16"/>
              </w:rPr>
            </w:pPr>
            <w:r w:rsidRPr="0075656B">
              <w:rPr>
                <w:rFonts w:ascii="Times New Roman" w:eastAsia="MS Gothic" w:hAnsi="Times New Roman"/>
                <w:sz w:val="16"/>
                <w:szCs w:val="16"/>
              </w:rPr>
              <w:t>Объем</w:t>
            </w:r>
            <w:r w:rsidR="004F61DB" w:rsidRPr="0075656B">
              <w:rPr>
                <w:rFonts w:ascii="Times New Roman" w:eastAsia="MS Gothic" w:hAnsi="Times New Roman"/>
                <w:sz w:val="16"/>
                <w:szCs w:val="16"/>
              </w:rPr>
              <w:t xml:space="preserve"> полномочий определяется </w:t>
            </w:r>
            <w:r w:rsidR="006E65AD" w:rsidRPr="0075656B">
              <w:rPr>
                <w:rFonts w:ascii="Times New Roman" w:eastAsia="MS Gothic" w:hAnsi="Times New Roman"/>
                <w:sz w:val="16"/>
                <w:szCs w:val="16"/>
              </w:rPr>
              <w:t xml:space="preserve">уставом либо </w:t>
            </w:r>
            <w:r w:rsidR="004664A2" w:rsidRPr="0075656B">
              <w:rPr>
                <w:rFonts w:ascii="Times New Roman" w:eastAsia="MS Gothic" w:hAnsi="Times New Roman"/>
                <w:sz w:val="16"/>
                <w:szCs w:val="16"/>
              </w:rPr>
              <w:t>доверенностью</w:t>
            </w:r>
            <w:r w:rsidR="0044490D" w:rsidRPr="0075656B">
              <w:rPr>
                <w:rFonts w:ascii="Times New Roman" w:eastAsia="MS Gothic" w:hAnsi="Times New Roman"/>
                <w:sz w:val="16"/>
                <w:szCs w:val="16"/>
              </w:rPr>
              <w:t xml:space="preserve">, при этом вид учетной записи «просмотровый режим (без права подачи поручений)» исключает возможность подачи каких-либо поручений через </w:t>
            </w:r>
            <w:r w:rsidR="006A0CB9" w:rsidRPr="0075656B">
              <w:rPr>
                <w:rFonts w:ascii="Times New Roman" w:eastAsia="MS Gothic" w:hAnsi="Times New Roman"/>
                <w:sz w:val="16"/>
                <w:szCs w:val="16"/>
              </w:rPr>
              <w:t>программное обеспечение Рабочее место</w:t>
            </w:r>
            <w:r w:rsidR="0044490D" w:rsidRPr="0075656B">
              <w:rPr>
                <w:rFonts w:ascii="Times New Roman" w:eastAsia="MS Gothic" w:hAnsi="Times New Roman"/>
                <w:sz w:val="16"/>
                <w:szCs w:val="16"/>
              </w:rPr>
              <w:t xml:space="preserve"> </w:t>
            </w:r>
            <w:r w:rsidR="0044490D" w:rsidRPr="0075656B">
              <w:rPr>
                <w:rFonts w:ascii="Times New Roman" w:eastAsia="MS Gothic" w:hAnsi="Times New Roman"/>
                <w:sz w:val="16"/>
                <w:szCs w:val="16"/>
                <w:lang w:val="en-US"/>
              </w:rPr>
              <w:t>QUIK</w:t>
            </w:r>
            <w:r w:rsidR="0044490D" w:rsidRPr="0075656B">
              <w:rPr>
                <w:rFonts w:ascii="Times New Roman" w:eastAsia="MS Gothic" w:hAnsi="Times New Roman"/>
                <w:sz w:val="16"/>
                <w:szCs w:val="16"/>
              </w:rPr>
              <w:t xml:space="preserve"> вне зависимости от наличия соответствующих полномочий в представленных документах.</w:t>
            </w:r>
          </w:p>
          <w:p w14:paraId="5EFA04DA" w14:textId="77777777" w:rsidR="004F61DB" w:rsidRPr="0075656B" w:rsidRDefault="004F61DB" w:rsidP="00CA0B23">
            <w:pPr>
              <w:pStyle w:val="a4"/>
              <w:numPr>
                <w:ilvl w:val="0"/>
                <w:numId w:val="16"/>
              </w:numPr>
              <w:tabs>
                <w:tab w:val="left" w:pos="709"/>
              </w:tabs>
              <w:spacing w:before="120" w:after="120" w:line="240" w:lineRule="auto"/>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На каждого из указанных в настоящем пункте физических лиц должна быть представлена </w:t>
            </w:r>
            <w:r w:rsidR="00E849AA" w:rsidRPr="0075656B">
              <w:rPr>
                <w:rFonts w:ascii="Times New Roman" w:eastAsia="MS Gothic" w:hAnsi="Times New Roman"/>
                <w:sz w:val="16"/>
                <w:szCs w:val="16"/>
              </w:rPr>
              <w:t xml:space="preserve">(1) </w:t>
            </w:r>
            <w:r w:rsidRPr="0075656B">
              <w:rPr>
                <w:rFonts w:ascii="Times New Roman" w:eastAsia="MS Gothic" w:hAnsi="Times New Roman"/>
                <w:sz w:val="16"/>
                <w:szCs w:val="16"/>
              </w:rPr>
              <w:t>анкета физического лица, подписанная самим физическим лицом</w:t>
            </w:r>
            <w:r w:rsidR="00E849AA" w:rsidRPr="0075656B">
              <w:rPr>
                <w:rFonts w:ascii="Times New Roman" w:eastAsia="MS Gothic" w:hAnsi="Times New Roman"/>
                <w:sz w:val="16"/>
                <w:szCs w:val="16"/>
              </w:rPr>
              <w:t xml:space="preserve">, и (2) копия основного документа, удостоверяющего </w:t>
            </w:r>
            <w:r w:rsidR="001B7E8E" w:rsidRPr="0075656B">
              <w:rPr>
                <w:rFonts w:ascii="Times New Roman" w:eastAsia="MS Gothic" w:hAnsi="Times New Roman"/>
                <w:sz w:val="16"/>
                <w:szCs w:val="16"/>
              </w:rPr>
              <w:t xml:space="preserve">его </w:t>
            </w:r>
            <w:r w:rsidR="00E849AA" w:rsidRPr="0075656B">
              <w:rPr>
                <w:rFonts w:ascii="Times New Roman" w:eastAsia="MS Gothic" w:hAnsi="Times New Roman"/>
                <w:sz w:val="16"/>
                <w:szCs w:val="16"/>
              </w:rPr>
              <w:t>личность</w:t>
            </w:r>
            <w:r w:rsidR="00636B8D" w:rsidRPr="0075656B">
              <w:rPr>
                <w:rFonts w:ascii="Times New Roman" w:eastAsia="MS Gothic" w:hAnsi="Times New Roman"/>
                <w:sz w:val="16"/>
                <w:szCs w:val="16"/>
              </w:rPr>
              <w:t>.</w:t>
            </w:r>
          </w:p>
          <w:p w14:paraId="3898F729" w14:textId="4BBAF736" w:rsidR="007B493B" w:rsidRPr="0075656B" w:rsidRDefault="004F61DB" w:rsidP="00CA0B23">
            <w:pPr>
              <w:pStyle w:val="a4"/>
              <w:numPr>
                <w:ilvl w:val="0"/>
                <w:numId w:val="16"/>
              </w:numPr>
              <w:tabs>
                <w:tab w:val="left" w:pos="709"/>
              </w:tabs>
              <w:spacing w:before="120" w:after="120" w:line="240" w:lineRule="auto"/>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Клиенты – физические лица вправе указать представителей при условии, что </w:t>
            </w:r>
            <w:r w:rsidR="004664A2" w:rsidRPr="0075656B">
              <w:rPr>
                <w:rFonts w:ascii="Times New Roman" w:eastAsia="MS Gothic" w:hAnsi="Times New Roman"/>
                <w:sz w:val="16"/>
                <w:szCs w:val="16"/>
              </w:rPr>
              <w:t xml:space="preserve">между представителем и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004664A2" w:rsidRPr="0075656B">
              <w:rPr>
                <w:rFonts w:ascii="Times New Roman" w:eastAsia="MS Gothic" w:hAnsi="Times New Roman"/>
                <w:sz w:val="16"/>
                <w:szCs w:val="16"/>
              </w:rPr>
              <w:t>заключен договор о брокерском обслуживании.</w:t>
            </w:r>
          </w:p>
        </w:tc>
      </w:tr>
    </w:tbl>
    <w:p w14:paraId="6BA262AC" w14:textId="77777777" w:rsidR="00BD3D57" w:rsidRPr="0075656B" w:rsidRDefault="00BD3D57" w:rsidP="00EA2B20">
      <w:pPr>
        <w:spacing w:after="0"/>
        <w:jc w:val="both"/>
        <w:rPr>
          <w:rFonts w:ascii="Times New Roman" w:eastAsia="MS Gothic" w:hAnsi="Times New Roman"/>
          <w:sz w:val="20"/>
          <w:szCs w:val="20"/>
        </w:rPr>
      </w:pPr>
    </w:p>
    <w:p w14:paraId="77D6CFC4" w14:textId="1CFBFA08" w:rsidR="009770AC" w:rsidRPr="0075656B" w:rsidRDefault="009770AC" w:rsidP="00AB2F98">
      <w:pPr>
        <w:pStyle w:val="a4"/>
        <w:numPr>
          <w:ilvl w:val="0"/>
          <w:numId w:val="1"/>
        </w:numPr>
        <w:tabs>
          <w:tab w:val="left" w:pos="1134"/>
        </w:tabs>
        <w:jc w:val="both"/>
        <w:rPr>
          <w:rFonts w:ascii="Times New Roman" w:eastAsia="MS Gothic" w:hAnsi="Times New Roman"/>
          <w:sz w:val="20"/>
          <w:szCs w:val="20"/>
        </w:rPr>
      </w:pPr>
      <w:r w:rsidRPr="0075656B">
        <w:rPr>
          <w:rFonts w:ascii="Times New Roman" w:eastAsia="MS Gothic" w:hAnsi="Times New Roman"/>
          <w:sz w:val="20"/>
          <w:szCs w:val="20"/>
        </w:rPr>
        <w:t>Отказ от предоставления Компании права использования в своих интересах денежных средств и/или ценных бумаг</w:t>
      </w:r>
    </w:p>
    <w:tbl>
      <w:tblPr>
        <w:tblStyle w:val="af6"/>
        <w:tblW w:w="9498" w:type="dxa"/>
        <w:tblInd w:w="-5" w:type="dxa"/>
        <w:tblLook w:val="04A0" w:firstRow="1" w:lastRow="0" w:firstColumn="1" w:lastColumn="0" w:noHBand="0" w:noVBand="1"/>
      </w:tblPr>
      <w:tblGrid>
        <w:gridCol w:w="9498"/>
      </w:tblGrid>
      <w:tr w:rsidR="009770AC" w:rsidRPr="00D27A8F" w14:paraId="0FFFF688" w14:textId="77777777" w:rsidTr="00747B3A">
        <w:tc>
          <w:tcPr>
            <w:tcW w:w="9498" w:type="dxa"/>
          </w:tcPr>
          <w:p w14:paraId="4ECAE652" w14:textId="3B64217D" w:rsidR="00A92988" w:rsidRPr="0075656B" w:rsidRDefault="00A92988" w:rsidP="009770AC">
            <w:pPr>
              <w:pStyle w:val="a4"/>
              <w:tabs>
                <w:tab w:val="left" w:pos="1134"/>
              </w:tabs>
              <w:ind w:left="0"/>
              <w:jc w:val="both"/>
              <w:rPr>
                <w:rFonts w:ascii="Times New Roman" w:eastAsia="MS Gothic" w:hAnsi="Times New Roman"/>
                <w:sz w:val="16"/>
                <w:szCs w:val="16"/>
              </w:rPr>
            </w:pPr>
          </w:p>
          <w:p w14:paraId="12E8A504" w14:textId="1E6EE2AF" w:rsidR="009770AC" w:rsidRPr="0075656B" w:rsidRDefault="00802E57" w:rsidP="009770AC">
            <w:pPr>
              <w:pStyle w:val="a4"/>
              <w:tabs>
                <w:tab w:val="left" w:pos="1134"/>
              </w:tabs>
              <w:ind w:left="0"/>
              <w:jc w:val="both"/>
              <w:rPr>
                <w:rFonts w:ascii="Times New Roman" w:eastAsia="MS Gothic" w:hAnsi="Times New Roman"/>
                <w:sz w:val="16"/>
                <w:szCs w:val="16"/>
              </w:rPr>
            </w:pPr>
            <w:sdt>
              <w:sdtPr>
                <w:rPr>
                  <w:rFonts w:ascii="Times New Roman" w:eastAsia="MS Gothic" w:hAnsi="Times New Roman"/>
                  <w:sz w:val="20"/>
                  <w:szCs w:val="20"/>
                </w:rPr>
                <w:id w:val="-276256028"/>
                <w14:checkbox>
                  <w14:checked w14:val="0"/>
                  <w14:checkedState w14:val="2612" w14:font="MS Gothic"/>
                  <w14:uncheckedState w14:val="2610" w14:font="MS Gothic"/>
                </w14:checkbox>
              </w:sdtPr>
              <w:sdtEndPr/>
              <w:sdtContent>
                <w:r w:rsidR="00A92988" w:rsidRPr="0075656B">
                  <w:rPr>
                    <w:rFonts w:ascii="Segoe UI Symbol" w:eastAsia="MS Gothic" w:hAnsi="Segoe UI Symbol" w:cs="Segoe UI Symbol"/>
                    <w:sz w:val="20"/>
                    <w:szCs w:val="20"/>
                  </w:rPr>
                  <w:t>☐</w:t>
                </w:r>
              </w:sdtContent>
            </w:sdt>
            <w:r w:rsidR="00A92988" w:rsidRPr="0075656B">
              <w:rPr>
                <w:rFonts w:ascii="Times New Roman" w:eastAsia="MS Gothic" w:hAnsi="Times New Roman"/>
                <w:sz w:val="16"/>
                <w:szCs w:val="16"/>
              </w:rPr>
              <w:t xml:space="preserve"> </w:t>
            </w:r>
            <w:r w:rsidR="009770AC" w:rsidRPr="0075656B">
              <w:rPr>
                <w:rFonts w:ascii="Times New Roman" w:eastAsia="MS Gothic" w:hAnsi="Times New Roman"/>
                <w:sz w:val="16"/>
                <w:szCs w:val="16"/>
              </w:rPr>
              <w:t>Настоящим выражаю свой отказ от пред</w:t>
            </w:r>
            <w:r w:rsidR="008F550C" w:rsidRPr="0075656B">
              <w:rPr>
                <w:rFonts w:ascii="Times New Roman" w:eastAsia="MS Gothic" w:hAnsi="Times New Roman"/>
                <w:sz w:val="16"/>
                <w:szCs w:val="16"/>
              </w:rPr>
              <w:t>оставления Компании права использования в своих интересах денежных средств Клиента</w:t>
            </w:r>
          </w:p>
          <w:p w14:paraId="0032662E" w14:textId="233CF8F3" w:rsidR="00A92988" w:rsidRDefault="00CB6456" w:rsidP="00747B3A">
            <w:pPr>
              <w:tabs>
                <w:tab w:val="left" w:pos="1134"/>
              </w:tabs>
              <w:spacing w:before="120" w:after="120" w:line="240" w:lineRule="auto"/>
              <w:jc w:val="both"/>
              <w:rPr>
                <w:rFonts w:ascii="Times New Roman" w:eastAsia="MS Gothic" w:hAnsi="Times New Roman"/>
                <w:i/>
                <w:sz w:val="16"/>
                <w:szCs w:val="16"/>
              </w:rPr>
            </w:pPr>
            <w:r w:rsidRPr="0075656B">
              <w:rPr>
                <w:rFonts w:ascii="Times New Roman" w:eastAsia="MS Gothic" w:hAnsi="Times New Roman"/>
                <w:i/>
                <w:sz w:val="16"/>
                <w:szCs w:val="16"/>
              </w:rPr>
              <w:t>О</w:t>
            </w:r>
            <w:r w:rsidR="00062AE9" w:rsidRPr="0075656B">
              <w:rPr>
                <w:rFonts w:ascii="Times New Roman" w:eastAsia="MS Gothic" w:hAnsi="Times New Roman"/>
                <w:i/>
                <w:sz w:val="16"/>
                <w:szCs w:val="16"/>
              </w:rPr>
              <w:t>тказ от предоставления Компании права использования в своих интересах денежных средств Клиента является отказом Клиента от предоставления Компании права использования в своих интересах ценных бумаг Клиента. В этом случае отказ Клиента от предоставления Компании права использования в своих интересах ценных бумаг Клиента считается заявленным вне зависимости от наличия отдельной отметки об отказе от предоставления Компании права использования в своих интересах ценных бумаг Клиента</w:t>
            </w:r>
            <w:r w:rsidR="0098066C" w:rsidRPr="0075656B">
              <w:rPr>
                <w:rFonts w:ascii="Times New Roman" w:eastAsia="MS Gothic" w:hAnsi="Times New Roman"/>
                <w:i/>
                <w:sz w:val="16"/>
                <w:szCs w:val="16"/>
              </w:rPr>
              <w:t xml:space="preserve"> ниже</w:t>
            </w:r>
            <w:r w:rsidR="00062AE9" w:rsidRPr="0075656B">
              <w:rPr>
                <w:rFonts w:ascii="Times New Roman" w:eastAsia="MS Gothic" w:hAnsi="Times New Roman"/>
                <w:i/>
                <w:sz w:val="16"/>
                <w:szCs w:val="16"/>
              </w:rPr>
              <w:t>.</w:t>
            </w:r>
          </w:p>
          <w:p w14:paraId="7527470F" w14:textId="498A0862" w:rsidR="00320D22" w:rsidRPr="0075656B" w:rsidRDefault="00320D22" w:rsidP="00747B3A">
            <w:pPr>
              <w:tabs>
                <w:tab w:val="left" w:pos="1134"/>
              </w:tabs>
              <w:spacing w:before="120" w:after="120" w:line="240" w:lineRule="auto"/>
              <w:jc w:val="both"/>
              <w:rPr>
                <w:rFonts w:ascii="Times New Roman" w:eastAsia="MS Gothic" w:hAnsi="Times New Roman"/>
                <w:i/>
                <w:sz w:val="16"/>
                <w:szCs w:val="16"/>
              </w:rPr>
            </w:pPr>
            <w:r w:rsidRPr="00320D22">
              <w:rPr>
                <w:rFonts w:ascii="Times New Roman" w:eastAsia="MS Gothic" w:hAnsi="Times New Roman"/>
                <w:i/>
                <w:sz w:val="16"/>
                <w:szCs w:val="16"/>
              </w:rPr>
              <w:t>В случае если в Заявлении о присоединении к Договору стоит отметка о предоставлении Клиенту Брокерского обслуживания на условиях Единого лимита и отказ Клиента от предоставления Компании права использования денежных средств Клиента в своих интересах, Компания не принимает во внимание отметку Клиента о предоставлении ему Брокерского обслуживания на условиях Единого лимита</w:t>
            </w:r>
            <w:r>
              <w:rPr>
                <w:rFonts w:ascii="Times New Roman" w:eastAsia="MS Gothic" w:hAnsi="Times New Roman"/>
                <w:i/>
                <w:sz w:val="16"/>
                <w:szCs w:val="16"/>
              </w:rPr>
              <w:t>;</w:t>
            </w:r>
            <w:r w:rsidRPr="00320D22">
              <w:rPr>
                <w:rFonts w:ascii="Times New Roman" w:eastAsia="MS Gothic" w:hAnsi="Times New Roman"/>
                <w:i/>
                <w:sz w:val="16"/>
                <w:szCs w:val="16"/>
              </w:rPr>
              <w:t xml:space="preserve"> Брокерское обслуживание Клиента на условиях Единого </w:t>
            </w:r>
            <w:r>
              <w:rPr>
                <w:rFonts w:ascii="Times New Roman" w:eastAsia="MS Gothic" w:hAnsi="Times New Roman"/>
                <w:i/>
                <w:sz w:val="16"/>
                <w:szCs w:val="16"/>
              </w:rPr>
              <w:t>лимита</w:t>
            </w:r>
            <w:r w:rsidRPr="00320D22">
              <w:rPr>
                <w:rFonts w:ascii="Times New Roman" w:eastAsia="MS Gothic" w:hAnsi="Times New Roman"/>
                <w:i/>
                <w:sz w:val="16"/>
                <w:szCs w:val="16"/>
              </w:rPr>
              <w:t xml:space="preserve"> не осуществляется, Компания не использует денежные средства Клиента в своих интересах.</w:t>
            </w:r>
          </w:p>
          <w:p w14:paraId="17D0A2C9" w14:textId="723066E8" w:rsidR="008F550C" w:rsidRPr="0075656B" w:rsidRDefault="00802E57" w:rsidP="008F550C">
            <w:pPr>
              <w:pStyle w:val="a4"/>
              <w:tabs>
                <w:tab w:val="left" w:pos="1134"/>
              </w:tabs>
              <w:ind w:left="0"/>
              <w:jc w:val="both"/>
              <w:rPr>
                <w:rFonts w:ascii="Times New Roman" w:eastAsia="MS Gothic" w:hAnsi="Times New Roman"/>
                <w:sz w:val="16"/>
                <w:szCs w:val="16"/>
              </w:rPr>
            </w:pPr>
            <w:sdt>
              <w:sdtPr>
                <w:rPr>
                  <w:rFonts w:ascii="Times New Roman" w:eastAsia="MS Gothic" w:hAnsi="Times New Roman"/>
                  <w:sz w:val="20"/>
                  <w:szCs w:val="20"/>
                </w:rPr>
                <w:id w:val="69090058"/>
                <w14:checkbox>
                  <w14:checked w14:val="0"/>
                  <w14:checkedState w14:val="2612" w14:font="MS Gothic"/>
                  <w14:uncheckedState w14:val="2610" w14:font="MS Gothic"/>
                </w14:checkbox>
              </w:sdtPr>
              <w:sdtEndPr/>
              <w:sdtContent>
                <w:r w:rsidR="008F550C" w:rsidRPr="0075656B">
                  <w:rPr>
                    <w:rFonts w:ascii="Segoe UI Symbol" w:eastAsia="MS Gothic" w:hAnsi="Segoe UI Symbol" w:cs="Segoe UI Symbol"/>
                    <w:sz w:val="20"/>
                    <w:szCs w:val="20"/>
                  </w:rPr>
                  <w:t>☐</w:t>
                </w:r>
              </w:sdtContent>
            </w:sdt>
            <w:r w:rsidR="008F550C" w:rsidRPr="0075656B" w:rsidDel="00806534">
              <w:rPr>
                <w:rFonts w:ascii="Times New Roman" w:eastAsia="MS Gothic" w:hAnsi="Times New Roman"/>
                <w:sz w:val="16"/>
                <w:szCs w:val="16"/>
              </w:rPr>
              <w:t xml:space="preserve"> </w:t>
            </w:r>
            <w:r w:rsidR="008F550C" w:rsidRPr="0075656B">
              <w:rPr>
                <w:rFonts w:ascii="Times New Roman" w:eastAsia="MS Gothic" w:hAnsi="Times New Roman"/>
                <w:sz w:val="16"/>
                <w:szCs w:val="16"/>
              </w:rPr>
              <w:t>Настоящим выражаю свой отказ от предоставления Компании права использования в своих интересах ценных бумаг Клиента</w:t>
            </w:r>
          </w:p>
          <w:p w14:paraId="45E8BB2E" w14:textId="77777777" w:rsidR="00A92988" w:rsidRPr="0075656B" w:rsidRDefault="00A92988" w:rsidP="008F550C">
            <w:pPr>
              <w:pStyle w:val="a4"/>
              <w:tabs>
                <w:tab w:val="left" w:pos="1134"/>
              </w:tabs>
              <w:ind w:left="0"/>
              <w:jc w:val="both"/>
              <w:rPr>
                <w:rFonts w:ascii="Times New Roman" w:eastAsia="MS Gothic" w:hAnsi="Times New Roman"/>
                <w:sz w:val="16"/>
                <w:szCs w:val="16"/>
              </w:rPr>
            </w:pPr>
          </w:p>
          <w:p w14:paraId="3C34B5BF" w14:textId="4933770D" w:rsidR="00EE2EB5" w:rsidRPr="0075656B" w:rsidRDefault="00EF2363" w:rsidP="00EE2EB5">
            <w:pPr>
              <w:tabs>
                <w:tab w:val="left" w:pos="1134"/>
              </w:tabs>
              <w:spacing w:before="120" w:after="120" w:line="240" w:lineRule="auto"/>
              <w:jc w:val="both"/>
              <w:rPr>
                <w:rFonts w:ascii="Times New Roman" w:eastAsia="MS Gothic" w:hAnsi="Times New Roman"/>
                <w:sz w:val="16"/>
                <w:szCs w:val="16"/>
              </w:rPr>
            </w:pPr>
            <w:r w:rsidRPr="0075656B">
              <w:rPr>
                <w:rFonts w:ascii="Times New Roman" w:eastAsia="MS Gothic" w:hAnsi="Times New Roman"/>
                <w:sz w:val="16"/>
                <w:szCs w:val="16"/>
              </w:rPr>
              <w:t>Ставя отметку об отказе от предоставления Компании права использования в своих интересах денежных средств и/или ценных бумаг Клиента, Клиент подтверждает, что он ознакомился с последствиями такого отказа</w:t>
            </w:r>
            <w:r w:rsidR="00EE2EB5" w:rsidRPr="0075656B">
              <w:rPr>
                <w:rFonts w:ascii="Times New Roman" w:eastAsia="MS Gothic" w:hAnsi="Times New Roman"/>
                <w:sz w:val="16"/>
                <w:szCs w:val="16"/>
              </w:rPr>
              <w:t>.</w:t>
            </w:r>
          </w:p>
          <w:p w14:paraId="458EBD46" w14:textId="76FBD5A6" w:rsidR="00EF2363" w:rsidRPr="0075656B" w:rsidRDefault="00EE2EB5" w:rsidP="000F4EF4">
            <w:pPr>
              <w:tabs>
                <w:tab w:val="left" w:pos="1134"/>
              </w:tabs>
              <w:spacing w:before="120" w:after="120" w:line="240" w:lineRule="auto"/>
              <w:jc w:val="both"/>
              <w:rPr>
                <w:rFonts w:ascii="Times New Roman" w:eastAsia="MS Gothic" w:hAnsi="Times New Roman"/>
                <w:i/>
                <w:sz w:val="16"/>
                <w:szCs w:val="16"/>
              </w:rPr>
            </w:pPr>
            <w:r w:rsidRPr="0075656B">
              <w:rPr>
                <w:rFonts w:ascii="Times New Roman" w:eastAsia="MS Gothic" w:hAnsi="Times New Roman"/>
                <w:sz w:val="16"/>
                <w:szCs w:val="16"/>
              </w:rPr>
              <w:t>Реализуя свое право на отказ от предоставления Компании права использования в своих интересах денежных средств и</w:t>
            </w:r>
            <w:r w:rsidR="0050380E" w:rsidRPr="0075656B">
              <w:rPr>
                <w:rFonts w:ascii="Times New Roman" w:eastAsia="MS Gothic" w:hAnsi="Times New Roman"/>
                <w:sz w:val="16"/>
                <w:szCs w:val="16"/>
              </w:rPr>
              <w:t>/</w:t>
            </w:r>
            <w:r w:rsidRPr="0075656B">
              <w:rPr>
                <w:rFonts w:ascii="Times New Roman" w:eastAsia="MS Gothic" w:hAnsi="Times New Roman"/>
                <w:sz w:val="16"/>
                <w:szCs w:val="16"/>
              </w:rPr>
              <w:t>или ценных бумаг Клиента, Клиенту следует учитывать, что, если иное не установлено соглашением между Компанией и Клиентом, такой отказ влечет невозможность совершения Клиентом Сделок, указанных в п</w:t>
            </w:r>
            <w:r w:rsidR="002E07FD" w:rsidRPr="0075656B">
              <w:rPr>
                <w:rFonts w:ascii="Times New Roman" w:eastAsia="MS Gothic" w:hAnsi="Times New Roman"/>
                <w:sz w:val="16"/>
                <w:szCs w:val="16"/>
              </w:rPr>
              <w:t>ункте</w:t>
            </w:r>
            <w:r w:rsidRPr="0075656B">
              <w:rPr>
                <w:rFonts w:ascii="Times New Roman" w:eastAsia="MS Gothic" w:hAnsi="Times New Roman"/>
                <w:sz w:val="16"/>
                <w:szCs w:val="16"/>
              </w:rPr>
              <w:t xml:space="preserve"> 1.5.7 Регламента </w:t>
            </w:r>
            <w:r w:rsidR="003F4B51" w:rsidRPr="0075656B">
              <w:rPr>
                <w:rFonts w:ascii="Times New Roman" w:eastAsia="MS Gothic" w:hAnsi="Times New Roman"/>
                <w:sz w:val="16"/>
                <w:szCs w:val="16"/>
              </w:rPr>
              <w:t>брокерского обслуживания</w:t>
            </w:r>
            <w:r w:rsidRPr="0075656B">
              <w:rPr>
                <w:rFonts w:ascii="Times New Roman" w:eastAsia="MS Gothic" w:hAnsi="Times New Roman"/>
                <w:sz w:val="16"/>
                <w:szCs w:val="16"/>
              </w:rPr>
              <w:t>.</w:t>
            </w:r>
          </w:p>
        </w:tc>
      </w:tr>
    </w:tbl>
    <w:p w14:paraId="09B3B8C3" w14:textId="77777777" w:rsidR="009770AC" w:rsidRPr="0075656B" w:rsidRDefault="009770AC" w:rsidP="00747B3A">
      <w:pPr>
        <w:pStyle w:val="a4"/>
        <w:tabs>
          <w:tab w:val="left" w:pos="1134"/>
        </w:tabs>
        <w:jc w:val="both"/>
        <w:rPr>
          <w:rFonts w:ascii="Times New Roman" w:eastAsia="MS Gothic" w:hAnsi="Times New Roman"/>
          <w:sz w:val="20"/>
          <w:szCs w:val="20"/>
        </w:rPr>
      </w:pPr>
    </w:p>
    <w:p w14:paraId="3D398E32" w14:textId="77777777" w:rsidR="0041750B" w:rsidRPr="0041750B" w:rsidRDefault="0041750B" w:rsidP="001730AC">
      <w:pPr>
        <w:pStyle w:val="a4"/>
        <w:numPr>
          <w:ilvl w:val="0"/>
          <w:numId w:val="1"/>
        </w:numPr>
        <w:jc w:val="both"/>
        <w:rPr>
          <w:rFonts w:ascii="Times New Roman" w:eastAsia="MS Gothic" w:hAnsi="Times New Roman"/>
          <w:sz w:val="20"/>
          <w:szCs w:val="20"/>
        </w:rPr>
      </w:pPr>
      <w:r w:rsidRPr="0041750B">
        <w:rPr>
          <w:rFonts w:ascii="Times New Roman" w:eastAsia="MS Gothic" w:hAnsi="Times New Roman"/>
          <w:sz w:val="20"/>
          <w:szCs w:val="20"/>
        </w:rPr>
        <w:t xml:space="preserve">Предоставление возможности совершения необеспеченных сделок </w:t>
      </w:r>
      <w:r w:rsidRPr="001730AC">
        <w:rPr>
          <w:rFonts w:ascii="Times New Roman" w:eastAsia="MS Gothic" w:hAnsi="Times New Roman"/>
          <w:i/>
          <w:sz w:val="20"/>
          <w:szCs w:val="20"/>
        </w:rPr>
        <w:t>(является необходимым условием для предоставления права совершения срочных сделок (заключения договоров, являющихся производными финансовыми инструментами):</w:t>
      </w:r>
    </w:p>
    <w:tbl>
      <w:tblPr>
        <w:tblStyle w:val="af6"/>
        <w:tblW w:w="9498" w:type="dxa"/>
        <w:tblInd w:w="-5" w:type="dxa"/>
        <w:tblLook w:val="04A0" w:firstRow="1" w:lastRow="0" w:firstColumn="1" w:lastColumn="0" w:noHBand="0" w:noVBand="1"/>
      </w:tblPr>
      <w:tblGrid>
        <w:gridCol w:w="9498"/>
      </w:tblGrid>
      <w:tr w:rsidR="0041750B" w14:paraId="227312B2" w14:textId="77777777" w:rsidTr="001730AC">
        <w:tc>
          <w:tcPr>
            <w:tcW w:w="9498" w:type="dxa"/>
          </w:tcPr>
          <w:p w14:paraId="418A121D" w14:textId="44A6BBE9" w:rsidR="0041750B" w:rsidRPr="001730AC" w:rsidRDefault="00802E57" w:rsidP="0041750B">
            <w:pPr>
              <w:pStyle w:val="a4"/>
              <w:autoSpaceDE w:val="0"/>
              <w:autoSpaceDN w:val="0"/>
              <w:adjustRightInd w:val="0"/>
              <w:spacing w:before="120" w:after="120" w:line="240" w:lineRule="auto"/>
              <w:ind w:left="34"/>
              <w:contextualSpacing w:val="0"/>
              <w:jc w:val="both"/>
              <w:rPr>
                <w:rFonts w:ascii="Times New Roman" w:eastAsia="MS Gothic" w:hAnsi="Times New Roman"/>
                <w:sz w:val="16"/>
                <w:szCs w:val="16"/>
              </w:rPr>
            </w:pPr>
            <w:sdt>
              <w:sdtPr>
                <w:rPr>
                  <w:rFonts w:ascii="Times New Roman" w:eastAsia="MS Gothic" w:hAnsi="Times New Roman"/>
                  <w:sz w:val="16"/>
                  <w:szCs w:val="16"/>
                </w:rPr>
                <w:id w:val="1111561479"/>
                <w14:checkbox>
                  <w14:checked w14:val="0"/>
                  <w14:checkedState w14:val="2612" w14:font="MS Gothic"/>
                  <w14:uncheckedState w14:val="2610" w14:font="MS Gothic"/>
                </w14:checkbox>
              </w:sdtPr>
              <w:sdtEndPr/>
              <w:sdtContent>
                <w:r w:rsidR="0041750B" w:rsidRPr="001730AC">
                  <w:rPr>
                    <w:rFonts w:ascii="Segoe UI Symbol" w:eastAsia="MS Gothic" w:hAnsi="Segoe UI Symbol" w:cs="Segoe UI Symbol"/>
                    <w:sz w:val="16"/>
                    <w:szCs w:val="16"/>
                  </w:rPr>
                  <w:t>☐</w:t>
                </w:r>
              </w:sdtContent>
            </w:sdt>
            <w:r w:rsidR="0041750B" w:rsidRPr="001730AC" w:rsidDel="00806534">
              <w:rPr>
                <w:rFonts w:ascii="Times New Roman" w:eastAsia="MS Gothic" w:hAnsi="Times New Roman"/>
                <w:sz w:val="16"/>
                <w:szCs w:val="16"/>
              </w:rPr>
              <w:t xml:space="preserve"> </w:t>
            </w:r>
            <w:r w:rsidR="0041750B" w:rsidRPr="001730AC">
              <w:rPr>
                <w:rFonts w:ascii="Times New Roman" w:eastAsia="MS Gothic" w:hAnsi="Times New Roman"/>
                <w:sz w:val="16"/>
                <w:szCs w:val="16"/>
              </w:rPr>
              <w:t xml:space="preserve">Прошу </w:t>
            </w:r>
            <w:r w:rsidR="0041750B">
              <w:rPr>
                <w:rFonts w:ascii="Times New Roman" w:eastAsia="MS Gothic" w:hAnsi="Times New Roman"/>
                <w:sz w:val="16"/>
                <w:szCs w:val="16"/>
              </w:rPr>
              <w:t>Акционерное общество «Инвестиционная компания «Горизонт»</w:t>
            </w:r>
            <w:r w:rsidR="0041750B" w:rsidRPr="00D068FC">
              <w:rPr>
                <w:rFonts w:ascii="Times New Roman" w:eastAsia="MS Gothic" w:hAnsi="Times New Roman"/>
                <w:sz w:val="16"/>
                <w:szCs w:val="16"/>
              </w:rPr>
              <w:t xml:space="preserve"> </w:t>
            </w:r>
            <w:r w:rsidR="0041750B" w:rsidRPr="001730AC">
              <w:rPr>
                <w:rFonts w:ascii="Times New Roman" w:eastAsia="MS Gothic" w:hAnsi="Times New Roman"/>
                <w:sz w:val="16"/>
                <w:szCs w:val="16"/>
              </w:rPr>
              <w:t>предоставить возможность совершения необеспеченных сделок</w:t>
            </w:r>
          </w:p>
          <w:p w14:paraId="68E5B0E8" w14:textId="77777777" w:rsidR="0041750B" w:rsidRPr="001730AC" w:rsidRDefault="0041750B" w:rsidP="0041750B">
            <w:pPr>
              <w:pStyle w:val="a4"/>
              <w:autoSpaceDE w:val="0"/>
              <w:autoSpaceDN w:val="0"/>
              <w:adjustRightInd w:val="0"/>
              <w:spacing w:before="120" w:after="120" w:line="240" w:lineRule="auto"/>
              <w:ind w:left="34"/>
              <w:contextualSpacing w:val="0"/>
              <w:jc w:val="both"/>
              <w:rPr>
                <w:rFonts w:ascii="Times New Roman" w:eastAsia="MS Gothic" w:hAnsi="Times New Roman"/>
                <w:sz w:val="16"/>
                <w:szCs w:val="16"/>
              </w:rPr>
            </w:pPr>
            <w:r w:rsidRPr="001730AC">
              <w:rPr>
                <w:rFonts w:ascii="Times New Roman" w:eastAsia="MS Gothic" w:hAnsi="Times New Roman"/>
                <w:sz w:val="16"/>
                <w:szCs w:val="16"/>
              </w:rPr>
              <w:t>Ставя отметку о предоставлении возможности совершения необеспеченных сделок, Клиент подтверждает, что он:</w:t>
            </w:r>
          </w:p>
          <w:p w14:paraId="4EC0B455" w14:textId="15D36E1D" w:rsidR="0041750B" w:rsidRPr="001730AC" w:rsidRDefault="0041750B" w:rsidP="0041750B">
            <w:pPr>
              <w:pStyle w:val="a4"/>
              <w:autoSpaceDE w:val="0"/>
              <w:autoSpaceDN w:val="0"/>
              <w:adjustRightInd w:val="0"/>
              <w:spacing w:before="120" w:after="120" w:line="240" w:lineRule="auto"/>
              <w:ind w:left="459"/>
              <w:contextualSpacing w:val="0"/>
              <w:jc w:val="both"/>
              <w:rPr>
                <w:rFonts w:ascii="Times New Roman" w:eastAsia="MS Gothic" w:hAnsi="Times New Roman"/>
                <w:sz w:val="16"/>
                <w:szCs w:val="16"/>
              </w:rPr>
            </w:pPr>
            <w:r w:rsidRPr="001730AC">
              <w:rPr>
                <w:rFonts w:ascii="Times New Roman" w:eastAsia="MS Gothic" w:hAnsi="Times New Roman"/>
                <w:sz w:val="16"/>
                <w:szCs w:val="16"/>
              </w:rPr>
              <w:t xml:space="preserve">ознакомлен с правилами и особенностями совершения необеспеченных сделок, сделок по закрытию позиций, специальных сделок РЕПО, специальных сделок своп (Приложение № </w:t>
            </w:r>
            <w:r>
              <w:rPr>
                <w:rFonts w:ascii="Times New Roman" w:eastAsia="MS Gothic" w:hAnsi="Times New Roman"/>
                <w:sz w:val="16"/>
                <w:szCs w:val="16"/>
              </w:rPr>
              <w:t>8</w:t>
            </w:r>
            <w:r w:rsidRPr="001730AC">
              <w:rPr>
                <w:rFonts w:ascii="Times New Roman" w:eastAsia="MS Gothic" w:hAnsi="Times New Roman"/>
                <w:sz w:val="16"/>
                <w:szCs w:val="16"/>
              </w:rPr>
              <w:t xml:space="preserve"> к Регламенту </w:t>
            </w:r>
            <w:r>
              <w:rPr>
                <w:rFonts w:ascii="Times New Roman" w:eastAsia="MS Gothic" w:hAnsi="Times New Roman"/>
                <w:sz w:val="16"/>
                <w:szCs w:val="16"/>
              </w:rPr>
              <w:t>брокерского обслуживания</w:t>
            </w:r>
            <w:r w:rsidRPr="001730AC">
              <w:rPr>
                <w:rFonts w:ascii="Times New Roman" w:eastAsia="MS Gothic" w:hAnsi="Times New Roman"/>
                <w:sz w:val="16"/>
                <w:szCs w:val="16"/>
              </w:rPr>
              <w:t>);</w:t>
            </w:r>
          </w:p>
          <w:p w14:paraId="51D30AFA" w14:textId="77777777" w:rsidR="0041750B" w:rsidRPr="001730AC" w:rsidRDefault="0041750B" w:rsidP="0041750B">
            <w:pPr>
              <w:pStyle w:val="a4"/>
              <w:autoSpaceDE w:val="0"/>
              <w:autoSpaceDN w:val="0"/>
              <w:adjustRightInd w:val="0"/>
              <w:spacing w:before="120" w:after="120" w:line="240" w:lineRule="auto"/>
              <w:ind w:left="459"/>
              <w:contextualSpacing w:val="0"/>
              <w:jc w:val="both"/>
              <w:rPr>
                <w:rFonts w:ascii="Times New Roman" w:eastAsia="MS Gothic" w:hAnsi="Times New Roman"/>
                <w:sz w:val="16"/>
                <w:szCs w:val="16"/>
              </w:rPr>
            </w:pPr>
            <w:r w:rsidRPr="001730AC">
              <w:rPr>
                <w:rFonts w:ascii="Times New Roman" w:eastAsia="MS Gothic" w:hAnsi="Times New Roman"/>
                <w:sz w:val="16"/>
                <w:szCs w:val="16"/>
              </w:rPr>
              <w:t>ознакомлен с тем, что за совершение специальных сделок РЕПО, специальных сделок своп, сделок по закрытию позиций установлено отдельное вознаграждение;</w:t>
            </w:r>
          </w:p>
          <w:p w14:paraId="2858FA74" w14:textId="77777777" w:rsidR="0041750B" w:rsidRPr="001730AC" w:rsidRDefault="0041750B" w:rsidP="0041750B">
            <w:pPr>
              <w:pStyle w:val="a4"/>
              <w:autoSpaceDE w:val="0"/>
              <w:autoSpaceDN w:val="0"/>
              <w:adjustRightInd w:val="0"/>
              <w:spacing w:before="120" w:after="120" w:line="240" w:lineRule="auto"/>
              <w:ind w:left="459"/>
              <w:contextualSpacing w:val="0"/>
              <w:jc w:val="both"/>
              <w:rPr>
                <w:rFonts w:ascii="Times New Roman" w:eastAsia="MS Gothic" w:hAnsi="Times New Roman"/>
                <w:sz w:val="16"/>
                <w:szCs w:val="16"/>
              </w:rPr>
            </w:pPr>
            <w:r w:rsidRPr="001730AC">
              <w:rPr>
                <w:rFonts w:ascii="Times New Roman" w:eastAsia="MS Gothic" w:hAnsi="Times New Roman"/>
                <w:sz w:val="16"/>
                <w:szCs w:val="16"/>
              </w:rPr>
              <w:t>понимает, что совершение необеспеченных сделок сопряжено с дополнительными рисками.</w:t>
            </w:r>
          </w:p>
          <w:p w14:paraId="788D019D" w14:textId="77777777" w:rsidR="0041750B" w:rsidRPr="001730AC" w:rsidRDefault="0041750B" w:rsidP="0041750B">
            <w:pPr>
              <w:autoSpaceDE w:val="0"/>
              <w:autoSpaceDN w:val="0"/>
              <w:adjustRightInd w:val="0"/>
              <w:spacing w:before="120" w:after="120" w:line="240" w:lineRule="auto"/>
              <w:jc w:val="both"/>
              <w:rPr>
                <w:rFonts w:ascii="Times New Roman" w:eastAsia="MS Gothic" w:hAnsi="Times New Roman"/>
                <w:sz w:val="16"/>
                <w:szCs w:val="16"/>
              </w:rPr>
            </w:pPr>
            <w:r w:rsidRPr="001730AC">
              <w:rPr>
                <w:rFonts w:ascii="Times New Roman" w:eastAsia="MS Gothic" w:hAnsi="Times New Roman"/>
                <w:sz w:val="16"/>
                <w:szCs w:val="16"/>
              </w:rPr>
              <w:t>Если иное не установлено соглашением между Компанией и Клиентом, отказ от предоставления Компании права использования в своих интересах денежных средств и/или ценных бумаг Клиента влечет невозможность совершения Клиентом необеспеченных сделок, за исключением сделок, указанных в подп. 1 п. 1.5.7 Регламента осуществления брокерской деятельности.</w:t>
            </w:r>
          </w:p>
          <w:p w14:paraId="6C660FA5" w14:textId="61C99610" w:rsidR="0041750B" w:rsidRDefault="0041750B" w:rsidP="0041750B">
            <w:pPr>
              <w:pStyle w:val="a4"/>
              <w:tabs>
                <w:tab w:val="left" w:pos="1134"/>
              </w:tabs>
              <w:ind w:left="0"/>
              <w:jc w:val="both"/>
              <w:rPr>
                <w:rFonts w:ascii="Times New Roman" w:eastAsia="MS Gothic" w:hAnsi="Times New Roman"/>
                <w:sz w:val="20"/>
                <w:szCs w:val="20"/>
              </w:rPr>
            </w:pPr>
            <w:r w:rsidRPr="001730AC">
              <w:rPr>
                <w:rFonts w:ascii="Times New Roman" w:eastAsia="MS Gothic" w:hAnsi="Times New Roman"/>
                <w:sz w:val="16"/>
                <w:szCs w:val="16"/>
              </w:rPr>
              <w:t>Клиент-физическое лицо, ставя отметку о предоставлении ему возможности совершения необеспеченных сделок, подтверждает, что он ознакомлен, что поручения физического лица, не являющегося квалифицированным инвестором, на совершение необеспеченных сделок исполняются только после прохождения таким клиентом тестирования по соответствующим сделкам и получения им положительного результата такого тестирования.</w:t>
            </w:r>
          </w:p>
        </w:tc>
      </w:tr>
    </w:tbl>
    <w:p w14:paraId="1AF56BAB" w14:textId="77777777" w:rsidR="0041750B" w:rsidRDefault="0041750B" w:rsidP="001730AC">
      <w:pPr>
        <w:pStyle w:val="a4"/>
        <w:tabs>
          <w:tab w:val="left" w:pos="1134"/>
        </w:tabs>
        <w:jc w:val="both"/>
        <w:rPr>
          <w:rFonts w:ascii="Times New Roman" w:eastAsia="MS Gothic" w:hAnsi="Times New Roman"/>
          <w:sz w:val="20"/>
          <w:szCs w:val="20"/>
        </w:rPr>
      </w:pPr>
    </w:p>
    <w:p w14:paraId="0C2B4B4D" w14:textId="6B684A40" w:rsidR="0099572F" w:rsidRPr="0075656B" w:rsidRDefault="004E19CE" w:rsidP="00DD0242">
      <w:pPr>
        <w:pStyle w:val="a4"/>
        <w:numPr>
          <w:ilvl w:val="0"/>
          <w:numId w:val="1"/>
        </w:numPr>
        <w:tabs>
          <w:tab w:val="left" w:pos="1134"/>
        </w:tabs>
        <w:jc w:val="both"/>
        <w:rPr>
          <w:rFonts w:ascii="Times New Roman" w:eastAsia="MS Gothic" w:hAnsi="Times New Roman"/>
          <w:sz w:val="20"/>
          <w:szCs w:val="20"/>
        </w:rPr>
      </w:pPr>
      <w:r w:rsidRPr="0075656B">
        <w:rPr>
          <w:rFonts w:ascii="Times New Roman" w:eastAsia="MS Gothic" w:hAnsi="Times New Roman"/>
          <w:sz w:val="20"/>
          <w:szCs w:val="20"/>
        </w:rPr>
        <w:t>Уведомления</w:t>
      </w:r>
      <w:r w:rsidR="002C7F05" w:rsidRPr="0075656B">
        <w:rPr>
          <w:rFonts w:ascii="Times New Roman" w:eastAsia="MS Gothic" w:hAnsi="Times New Roman"/>
          <w:sz w:val="20"/>
          <w:szCs w:val="20"/>
        </w:rPr>
        <w:t>:</w:t>
      </w:r>
    </w:p>
    <w:tbl>
      <w:tblPr>
        <w:tblStyle w:val="af6"/>
        <w:tblW w:w="9498" w:type="dxa"/>
        <w:tblInd w:w="-5" w:type="dxa"/>
        <w:tblLook w:val="04A0" w:firstRow="1" w:lastRow="0" w:firstColumn="1" w:lastColumn="0" w:noHBand="0" w:noVBand="1"/>
      </w:tblPr>
      <w:tblGrid>
        <w:gridCol w:w="9498"/>
      </w:tblGrid>
      <w:tr w:rsidR="0099572F" w:rsidRPr="00D27A8F" w14:paraId="38228C65" w14:textId="77777777" w:rsidTr="00DD0242">
        <w:tc>
          <w:tcPr>
            <w:tcW w:w="9498" w:type="dxa"/>
          </w:tcPr>
          <w:p w14:paraId="73F475DA" w14:textId="525C695B" w:rsidR="00B369B8" w:rsidRPr="0075656B" w:rsidRDefault="00B369B8" w:rsidP="00747B3A">
            <w:pPr>
              <w:pStyle w:val="a4"/>
              <w:numPr>
                <w:ilvl w:val="0"/>
                <w:numId w:val="24"/>
              </w:numPr>
              <w:autoSpaceDE w:val="0"/>
              <w:autoSpaceDN w:val="0"/>
              <w:adjustRightInd w:val="0"/>
              <w:spacing w:before="120" w:after="120" w:line="240" w:lineRule="auto"/>
              <w:contextualSpacing w:val="0"/>
              <w:mirrorIndents/>
              <w:rPr>
                <w:rFonts w:ascii="Times New Roman" w:eastAsia="MS Gothic" w:hAnsi="Times New Roman"/>
                <w:b/>
                <w:sz w:val="20"/>
                <w:szCs w:val="20"/>
              </w:rPr>
            </w:pPr>
            <w:r w:rsidRPr="0075656B">
              <w:rPr>
                <w:rFonts w:ascii="Times New Roman" w:eastAsia="MS Gothic" w:hAnsi="Times New Roman"/>
                <w:b/>
                <w:sz w:val="20"/>
                <w:szCs w:val="20"/>
              </w:rPr>
              <w:t>Декларация об общих рисках, связанных с осуществлением операций на рынке ценных бумаг</w:t>
            </w:r>
          </w:p>
          <w:p w14:paraId="045A24D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Цель настоящей Декларации — предоставить вам информацию об основных рисках, связанных с осуществлением операций на рынке ценных бумаг. Обращаем ваше внимание на то, что настоящая Декларация не раскрывает информацию обо всех рисках на рынке ценных бумаг вследствие разнообразия возникающих на нем ситуаций.</w:t>
            </w:r>
          </w:p>
          <w:p w14:paraId="1143C3F1"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общем смысле риск представляет собой возможность возникновения убытков при осуществлении финансовых операций в связи с возможным неблагоприятным влиянием разного рода факторов. Ниже – основные риски, с которыми будут связаны ваши операции на рынке ценных бумаг.</w:t>
            </w:r>
          </w:p>
          <w:p w14:paraId="6FC0AFBE"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I. Системный риск</w:t>
            </w:r>
          </w:p>
          <w:p w14:paraId="4E22F8E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Этот риск затрагивает несколько финансовых институтов и проявляется в снижении их способности выполнять свои функции.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w:t>
            </w:r>
          </w:p>
          <w:p w14:paraId="2EB3402F"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II. Рыночный риск</w:t>
            </w:r>
          </w:p>
          <w:p w14:paraId="2DB2207E"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Этот риск проявляется в неблагоприятном изменении цен (стоимости) принадлежащих вам финансовых инструментов, в том числе из-за неблагоприятного изменения политической ситуации, резкой девальвации национальной валюты, кризиса рынка государственных долговых обязательств, банковского и валютного кризиса, обстоятельств непреодолимой силы, главным образом стихийного и военного характера, и как следствие, приводит к снижению доходности или даже убыткам. В зависимости от выбранной стратегии рыночный (ценовой) риск будет состоять в увеличении (уменьшении) цены финансовых инструментов. Вы должны отдавать себе отчет в том, что стоимость принадлежащих вам финансовых инструментов может как расти, так и снижаться, и ее рост в прошлом не означает ее роста в будущем.</w:t>
            </w:r>
          </w:p>
          <w:p w14:paraId="25955E50"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Следует специально обратить внимание на следующие рыночные риски:</w:t>
            </w:r>
          </w:p>
          <w:p w14:paraId="6E4FE30C"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1. Валютный риск</w:t>
            </w:r>
          </w:p>
          <w:p w14:paraId="09C64836"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Валютный риск проявляется в неблагоприятном изменении курса рубля по отношению к иностранной валюте, при котором ваши доходы от владения финансовыми инструментами могут быть подвергнуты инфляционному воздействию (снижению реальной покупательной способности), вследствие чего вы можете потерять часть дохода, а также понести убытки. Валютный риск также может привести к изменению размера обязательств по финансовым инструментам, связанным с иностранной валютой или иностранными финансовыми инструментами, что может привести к убыткам или к затруднению возможности рассчитываться по ним.</w:t>
            </w:r>
          </w:p>
          <w:p w14:paraId="16CCF50B"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2. Процентный риск</w:t>
            </w:r>
          </w:p>
          <w:p w14:paraId="4FE16E07"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Проявляется в неблагоприятном изменении процентной ставки, влияющей на курсовую стоимость облигаций с фиксированным доходом.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14:paraId="1646E3E1"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lastRenderedPageBreak/>
              <w:t>3. Риск банкротства эмитента акций</w:t>
            </w:r>
          </w:p>
          <w:p w14:paraId="38A0E057"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Проявляется в резком падении цены акций акционерного общества, признанного несостоятельным, или в предвидении такой несостоятельности.</w:t>
            </w:r>
          </w:p>
          <w:p w14:paraId="0ECB4CE4"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Для того чтобы снизить рыночный риск, вам следует внимательно отнестись к выбору и диверсификации финансовых инструментов. Кроме того, внимательно ознакомьтесь с условиями вашего взаимодействия с вашим брокером для того, чтобы оценить расходы, с которыми будут связаны владение и операции с финансовыми инструментами и убедитесь, в том, что они приемлемы для вас и не лишают вас ожидаемого вами дохода.</w:t>
            </w:r>
          </w:p>
          <w:p w14:paraId="28516DCB"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III. Риск ликвидности</w:t>
            </w:r>
          </w:p>
          <w:p w14:paraId="56EDC99B"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Этот риск проявляется в снижении возможности реализовать финансовые инструменты по необходимой цене из-за снижения спроса на них. Данный риск может проявиться, в частности, при необходимости быстрой продажи финансовых инструментов, в убытках, связанных со значительным снижением их стоимости.</w:t>
            </w:r>
          </w:p>
          <w:p w14:paraId="7B5C165F"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IV. Кредитный риск</w:t>
            </w:r>
          </w:p>
          <w:p w14:paraId="16D33D44"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Этот риск заключается в возможности невыполнения контрактных и иных обязательств, принятых на себя другими лицами в связи с вашими операциями.</w:t>
            </w:r>
          </w:p>
          <w:p w14:paraId="40E20BD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 числу кредитных рисков относятся следующие риски:</w:t>
            </w:r>
          </w:p>
          <w:p w14:paraId="3AECB1B6"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1. Риск дефолта по облигациям и иным долговым ценным бумагам</w:t>
            </w:r>
          </w:p>
          <w:p w14:paraId="256A69F6"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Заключается в возможности неплатежеспособности эмитента долговых ценных бумаг, что приведет к невозможности или снижению вероятности погасить ее в срок и в полном объеме.</w:t>
            </w:r>
          </w:p>
          <w:p w14:paraId="7E6FC9D8"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2. Риск контрагента</w:t>
            </w:r>
          </w:p>
          <w:p w14:paraId="219F6E9D"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Риск контрагента — третьего лица проявляется в риске неисполнения обязательств перед вами или вашим брокером со стороны контрагентов. Ваш брокер должен принимать меры по минимизации риска контрагента, однако не может исключить его полностью. Особенно высок риск контрагента при совершении операций, совершаемых на неорганизованном рынке, без участия клиринговых организаций, которые принимают на себя риски неисполнения обязательств.</w:t>
            </w:r>
          </w:p>
          <w:p w14:paraId="7C633C59"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Вы должны отдавать себе отчет в том, что хотя брокер действует в ваших интересах от своего имени, риски, которые он принимает в результате таких действий, в том числе риск неисполнения или ненадлежащего исполнения обязательств третьих лиц перед вашим брокером, несете вы. Вам следует иметь в виду, что во всех случаях денежные средства клиента хранятся на банковском счете, и вы несете риск банкротства банка, в котором они хранятся. Оцените, где именно будут храниться переданные вами брокеру активы, готовы ли вы осуществлять операции вне централизованной клиринговой инфраструктуры.</w:t>
            </w:r>
          </w:p>
          <w:p w14:paraId="060F0ED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3. Риск неисполнения обязательств перед вами вашим брокером</w:t>
            </w:r>
          </w:p>
          <w:p w14:paraId="0AB8B57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Риск неисполнения вашим брокером некоторых обязательств перед вами является видом риска контрагента. Законодательство требует хранить денежные средства брокера и денежные средства его клиентов на разных банковских счетах, благодаря чему они защищены в случае банкротства брокера. Однако обычно денежные средства клиента хранятся на банковском счете вместе с денежными средствами других клиентов и поэтому не защищены от обращения взыскания по долгам других клиентов. Для того чтобы исключить этот риск, вы можете требовать от брокера хранить ваши денежные средства на отдельном счете, но в этом случае брокер может установить дополнительное вознаграждение.</w:t>
            </w:r>
          </w:p>
          <w:p w14:paraId="6B160632"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Особое внимание следует также обратить на право вашего брокера использовать ваши средства. Если договор о брокерском обслуживании разрешает брокеру использовать ваши средства, он вправе зачислять их на банковский счет, предназначенный для хранения своих собственных денежных средств. В этом случае вы принимаете на себя риск банкротства брокера. Такой риск в настоящее время не страхуется.</w:t>
            </w:r>
          </w:p>
          <w:p w14:paraId="46F88AF3"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Внимательно ознакомьтесь с проектом договора для того, чтобы оценить, какие полномочия по использованию вашего имущества будет иметь ваш брокер, каковы правила его хранения, а также возврата.</w:t>
            </w:r>
          </w:p>
          <w:p w14:paraId="47F75D93"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Ваш брокер является членом НАУФОР, к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w:t>
            </w:r>
          </w:p>
          <w:p w14:paraId="77CDAD4F"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V. Правовой риск</w:t>
            </w:r>
          </w:p>
          <w:p w14:paraId="287EB8E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Связан с возможными негативными последствиями утверждения законодательства или нормативных актов, стандартов саморегулируемых организаций, регулирующих рынок ценных бумаг, или иные отрасли экономики, которые могут косвенно привести к негативным для вас последствиям.</w:t>
            </w:r>
          </w:p>
          <w:p w14:paraId="2087F326"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 правовому риску также относится возможность изменения правил расчета налога, налоговых ставок, отмены налоговых вычетов и другие изменения налогового законодательства, которые могут привести к негативным для вас последствиям.</w:t>
            </w:r>
          </w:p>
          <w:p w14:paraId="1A87B6FF" w14:textId="77777777" w:rsidR="00B369B8" w:rsidRPr="0075656B" w:rsidRDefault="00B369B8"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rPr>
              <w:t>VI. Операционный риск</w:t>
            </w:r>
          </w:p>
          <w:p w14:paraId="6384255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Заключается в возможности причинения вам убытков в результате нарушения внутренних процедур вашего брокера, ошибок и недобросовестных действий его сотрудников, сбоев в работе технических средств вашего брокера, его партнеров, инфраструктурных организаций, в том числе организаторов торгов, клиринговых организаций, а также других организаций. Операционный риск может исключить или затруднить совершение операций и в результате привести к убыткам.</w:t>
            </w:r>
          </w:p>
          <w:p w14:paraId="5F991FC5"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Ознакомьтесь внимательно с договором для того, чтобы оценить, какие из рисков, в том числе риски каких технических сбоев, несет ваш брокер, а какие из рисков несете вы.</w:t>
            </w:r>
          </w:p>
          <w:p w14:paraId="1064A601"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операций на финансовом рынке, приемлемыми для вас с учетом ваших инвестиционных целей и финансовых возможностей.</w:t>
            </w:r>
          </w:p>
          <w:p w14:paraId="00413B40"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lastRenderedPageBreak/>
              <w:t>Данная Декларация не имеет своей целью заставить вас отказаться от осуществления операций на рынке ценных бумаг,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618AB348" w14:textId="77777777" w:rsidR="00B369B8" w:rsidRPr="0075656B" w:rsidRDefault="00B369B8" w:rsidP="00747B3A">
            <w:pPr>
              <w:autoSpaceDE w:val="0"/>
              <w:autoSpaceDN w:val="0"/>
              <w:adjustRightInd w:val="0"/>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Убедитесь, что настоящая Декларация о рисках понятна вам, и при необходимости получите разъяснения у вашего брокера или консультанта, специализирующегося на соответствующих вопросах.</w:t>
            </w:r>
          </w:p>
          <w:p w14:paraId="79029E95" w14:textId="0ACF762B"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rPr>
                <w:rFonts w:ascii="Times New Roman" w:eastAsia="MS Gothic" w:hAnsi="Times New Roman"/>
                <w:b/>
                <w:sz w:val="20"/>
                <w:szCs w:val="20"/>
              </w:rPr>
            </w:pPr>
            <w:r w:rsidRPr="0075656B">
              <w:rPr>
                <w:rFonts w:ascii="Times New Roman" w:eastAsia="MS Gothic" w:hAnsi="Times New Roman"/>
                <w:b/>
                <w:sz w:val="20"/>
                <w:szCs w:val="20"/>
              </w:rPr>
              <w:t>Декларация о рисках, связанных с совершением маржинальных и непокрытых сделок</w:t>
            </w:r>
          </w:p>
          <w:p w14:paraId="748AB1B6"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Цель настоящей Декларации —предоставить вам информацию об основных рисках, с которыми связаны маржинальные сделки (то есть сделки, исполнение которых осуществляется с использованием заемных средств, предоставленных брокером) и непокрытые сделки (то есть сделки, в результате которых возникает непокрытая позиция – для исполнения обязательств, по которым на момент заключения сделки имущества клиента, переданного брокеру, недостаточно с учетом иных ранее заключенных сделок).</w:t>
            </w:r>
          </w:p>
          <w:p w14:paraId="07D08F6D" w14:textId="54BDD8FC"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Данные сделки подходят не всем клиентам. Нормативные акты ограничивают риски клиентов по маржинальным и непокрытым сделкам, в том числе регулируя максимальное «плечо» — соотношение обязательств клиента по заключенным в его интересах сделкам и имущества клиента, предназначенного для совершения сделок в соответствии с договором</w:t>
            </w:r>
            <w:r w:rsidR="006522C0" w:rsidRPr="0075656B">
              <w:rPr>
                <w:rFonts w:ascii="Times New Roman" w:hAnsi="Times New Roman"/>
                <w:sz w:val="16"/>
                <w:szCs w:val="16"/>
              </w:rPr>
              <w:t xml:space="preserve"> о брокерском обслуживании</w:t>
            </w:r>
            <w:r w:rsidRPr="0075656B">
              <w:rPr>
                <w:rFonts w:ascii="Times New Roman" w:hAnsi="Times New Roman"/>
                <w:sz w:val="16"/>
                <w:szCs w:val="16"/>
              </w:rPr>
              <w:t>. Тем не менее данные сделки подходят не всем клиентам, поскольку сопряжены с дополнительными рисками и требуют оценки того, готовы ли вы их нести.</w:t>
            </w:r>
          </w:p>
          <w:p w14:paraId="671B0942" w14:textId="42A51F5C" w:rsidR="00267B40" w:rsidRPr="0075656B" w:rsidRDefault="00267B40" w:rsidP="00747B3A">
            <w:pPr>
              <w:autoSpaceDE w:val="0"/>
              <w:autoSpaceDN w:val="0"/>
              <w:adjustRightInd w:val="0"/>
              <w:spacing w:before="120" w:after="120" w:line="240" w:lineRule="auto"/>
              <w:mirrorIndents/>
              <w:rPr>
                <w:rFonts w:ascii="Times New Roman" w:hAnsi="Times New Roman"/>
                <w:sz w:val="16"/>
                <w:szCs w:val="16"/>
              </w:rPr>
            </w:pPr>
            <w:r w:rsidRPr="0075656B">
              <w:rPr>
                <w:rFonts w:ascii="Times New Roman" w:hAnsi="Times New Roman"/>
                <w:sz w:val="16"/>
                <w:szCs w:val="16"/>
                <w:lang w:val="en-US"/>
              </w:rPr>
              <w:t>I</w:t>
            </w:r>
            <w:r w:rsidRPr="0075656B">
              <w:rPr>
                <w:rFonts w:ascii="Times New Roman" w:hAnsi="Times New Roman"/>
                <w:sz w:val="16"/>
                <w:szCs w:val="16"/>
              </w:rPr>
              <w:t>. Рыночный риск</w:t>
            </w:r>
          </w:p>
          <w:p w14:paraId="133F1FD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согласии на совершение маржинальных и непокрытых сделок вы должны учитывать тот факт, что величина потерь в случае неблагоприятного для вашего портфеля движения рынка увеличивается при увеличении «плеча».</w:t>
            </w:r>
          </w:p>
          <w:p w14:paraId="77B44B8C"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Помимо общего рыночного риска, который несет клиент, совершающий операции на рынке ценных бумаг, вы в случае совершения маржинальных и непокрытых сделок будете нести риск неблагоприятного изменения цены как в отношении ценных бумаг, в результате приобретения которых возникла или увеличилась непокрытая позиция, так и риск в отношении активов, которые служат обеспечением. При этом, в случае если непокрытая позиция возникла или увеличилась в результате продажи ценных бумаг, величина убытков ничем не ограничена – вы будете обязаны вернуть (передать) брокеру ценные бумаги независимо от изменения их стоимости.</w:t>
            </w:r>
          </w:p>
          <w:p w14:paraId="5AC323A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совершении маржинальных и непокрытых сделок вы должны учитывать, что возможность распоряжения активами, являющимися обеспечением по таким сделкам, ограничена.</w:t>
            </w:r>
          </w:p>
          <w:p w14:paraId="0B3BD02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Имущество (часть имущества), принадлежащее вам, в результате совершения маржинальной или непокрытой сделки является обеспечением исполнения ваших обязательств перед брокером и возможность распоряжения им может быть ограничена вплоть до полного запрета совершения с ним каких-либо сделок. Размер обеспечения изменяется в порядке, предусмотренном договором, и в результате вы можете быть ограничены в возможности распоряжаться своим имуществом в большей степени, чем до совершения маржинальной (непокрытой) сделки.</w:t>
            </w:r>
          </w:p>
          <w:p w14:paraId="10AD4622" w14:textId="5BBA6CF6"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договора</w:t>
            </w:r>
            <w:r w:rsidR="006522C0" w:rsidRPr="0075656B">
              <w:rPr>
                <w:rFonts w:ascii="Times New Roman" w:hAnsi="Times New Roman"/>
                <w:sz w:val="16"/>
                <w:szCs w:val="16"/>
              </w:rPr>
              <w:t xml:space="preserve"> о брокерском обслуживании</w:t>
            </w:r>
            <w:r w:rsidRPr="0075656B">
              <w:rPr>
                <w:rFonts w:ascii="Times New Roman" w:hAnsi="Times New Roman"/>
                <w:sz w:val="16"/>
                <w:szCs w:val="16"/>
              </w:rPr>
              <w:t xml:space="preserve">, что должно быть сделано в короткий срок, который может быть недостаточен для вас. Нормативные акты и условия договора </w:t>
            </w:r>
            <w:r w:rsidR="006522C0" w:rsidRPr="0075656B">
              <w:rPr>
                <w:rFonts w:ascii="Times New Roman" w:hAnsi="Times New Roman"/>
                <w:sz w:val="16"/>
                <w:szCs w:val="16"/>
              </w:rPr>
              <w:t xml:space="preserve">о брокерском обслуживании </w:t>
            </w:r>
            <w:r w:rsidRPr="0075656B">
              <w:rPr>
                <w:rFonts w:ascii="Times New Roman" w:hAnsi="Times New Roman"/>
                <w:sz w:val="16"/>
                <w:szCs w:val="16"/>
              </w:rPr>
              <w:t>позволяют брокеру без вашего согласия «принудительно закрыть позицию», то есть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14:paraId="62683149"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Принудительное закрытие позиции может быть вызвано резкими колебаниями рыночных цен, которые повлекли уменьшение стоимости вашего портфеля ниже минимальной маржи.</w:t>
            </w:r>
          </w:p>
          <w:p w14:paraId="52379A6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Принудительное закрытие позиции может быть вызвано требованиями нормативных актов или внесением брокером в одностороннем порядке изменений в список ценных бумаг, которые могут быть обеспечением по непокрытым позициям.</w:t>
            </w:r>
          </w:p>
          <w:p w14:paraId="3A2C50CB"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Принудительное закрытие может быть вызвано изменением значений ставок риска, рассчитываемых клиринговой организацией и (или) используемых брокером в связи с увеличением волатильности соответствующих ценных бумаг.</w:t>
            </w:r>
          </w:p>
          <w:p w14:paraId="512445A0"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Во всех этих случаях принудительное закрытие позиции может причинить вам значительные </w:t>
            </w:r>
            <w:proofErr w:type="gramStart"/>
            <w:r w:rsidRPr="0075656B">
              <w:rPr>
                <w:rFonts w:ascii="Times New Roman" w:hAnsi="Times New Roman"/>
                <w:sz w:val="16"/>
                <w:szCs w:val="16"/>
              </w:rPr>
              <w:t>убытки, несмотря на то, что</w:t>
            </w:r>
            <w:proofErr w:type="gramEnd"/>
            <w:r w:rsidRPr="0075656B">
              <w:rPr>
                <w:rFonts w:ascii="Times New Roman" w:hAnsi="Times New Roman"/>
                <w:sz w:val="16"/>
                <w:szCs w:val="16"/>
              </w:rPr>
              <w:t xml:space="preserve"> после закрытия позиции изменение цен на финансовые инструменты может принять благоприятное для вас направление, и вы получили бы доход, если бы ваша позиция не была закрыта. Размер указанных убытков при неблагоприятном стечении обстоятельств может превысить стоимость находящихся на вашем счету активов.</w:t>
            </w:r>
          </w:p>
          <w:p w14:paraId="778FE8B5" w14:textId="14E8D198"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Риск ликвидности</w:t>
            </w:r>
          </w:p>
          <w:p w14:paraId="66DF62E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Если величина непокрытой позиции по отдельным ценным бумагам является значимой в сравнении с объемом соответствующих ценных бумаг в свободном обращении и (или) в сравнении с объемом торгов на организованном рынке, риск ликвидности при совершении маржинальной и непокрытой сделки усиливается. Трудности с приобретением или продажей активов могут привести к увеличению убытков по сравнению с обычными сделками. Аналогично необходимо учитывать возрастающий риск ликвидности, если обеспечением вашей непокрытой позиции являются ценные бумаги и для закрытия непокрытой позиции может потребоваться реализация существенного количества ценных бумаг.</w:t>
            </w:r>
          </w:p>
          <w:p w14:paraId="22E35C5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14:paraId="075A569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2FB7ADCD"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Убедитесь, что настоящая Декларация о рисках понятна вам, и при необходимости получите разъяснения у вашего брокера или консультанта, специализирующегося на соответствующих вопросах.</w:t>
            </w:r>
          </w:p>
          <w:p w14:paraId="32444C0A" w14:textId="22608373"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rPr>
                <w:rFonts w:ascii="Times New Roman" w:eastAsia="MS Gothic" w:hAnsi="Times New Roman"/>
                <w:sz w:val="20"/>
                <w:szCs w:val="20"/>
              </w:rPr>
            </w:pPr>
            <w:r w:rsidRPr="0075656B">
              <w:rPr>
                <w:rFonts w:ascii="Times New Roman" w:eastAsia="MS Gothic" w:hAnsi="Times New Roman"/>
                <w:b/>
                <w:sz w:val="20"/>
                <w:szCs w:val="20"/>
              </w:rPr>
              <w:t>Декларация о рисках, связанных с производными финансовыми инструментами</w:t>
            </w:r>
          </w:p>
          <w:p w14:paraId="15499C18" w14:textId="538862D4"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Цель настоящей Декларации —предоставить вам информацию об основных рисках, связанных с производными финансовыми инструментами.</w:t>
            </w:r>
          </w:p>
          <w:p w14:paraId="43F5F4D3"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lastRenderedPageBreak/>
              <w:t xml:space="preserve">Данные инструменты (фьючерсы, форварды, опционы, свопы и др.) подходят не всем клиентам. Более того, некоторые виды производных финансовых инструментов сопряжены с </w:t>
            </w:r>
            <w:proofErr w:type="spellStart"/>
            <w:r w:rsidRPr="0075656B">
              <w:rPr>
                <w:rFonts w:ascii="Times New Roman" w:hAnsi="Times New Roman"/>
                <w:sz w:val="16"/>
                <w:szCs w:val="16"/>
              </w:rPr>
              <w:t>бо́льшим</w:t>
            </w:r>
            <w:proofErr w:type="spellEnd"/>
            <w:r w:rsidRPr="0075656B">
              <w:rPr>
                <w:rFonts w:ascii="Times New Roman" w:hAnsi="Times New Roman"/>
                <w:sz w:val="16"/>
                <w:szCs w:val="16"/>
              </w:rPr>
              <w:t xml:space="preserve"> уровнем риска, чем другие. Так, продажа опционных контрактов и заключение фьючерсных контрактов, форвардных контрактов и своп-контрактов при относительно небольших неблагоприятных колебаниях цен на рынке может подвергнуть вас риску значительных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14:paraId="4DBE0DA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Настоящая декларация относится также и к производным финансовым инструментам, направленным на снижение рисков других операций на фондовом рынке. Внимательно оцените, как ваши производные финансовые инструменты соотносятся с операциями, риски по которым они призваны ограничить, и убедитесь, что объем позиции на срочном рынке соответствует объему хеджируемой позиции на спот-рынке.</w:t>
            </w:r>
          </w:p>
          <w:p w14:paraId="0F1EB90E" w14:textId="797126BA"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w:t>
            </w:r>
            <w:r w:rsidRPr="0075656B">
              <w:rPr>
                <w:rFonts w:ascii="Times New Roman" w:hAnsi="Times New Roman"/>
                <w:sz w:val="16"/>
                <w:szCs w:val="16"/>
              </w:rPr>
              <w:t>. Рыночный риск</w:t>
            </w:r>
          </w:p>
          <w:p w14:paraId="28AE0B74"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Помимо общего рыночного (ценового) риска, который несет клиент, совершающий операции на рынке ценных бумаг, вы в случае заключения вами договоров, являющихся производными финансовыми инструментами, будете нести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w:t>
            </w:r>
          </w:p>
          <w:p w14:paraId="37FA31EA"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w:t>
            </w:r>
          </w:p>
          <w:p w14:paraId="1459B082"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заключении договоров, являющихся производными финансовыми инструментами, вы должны учитывать, что возможность распоряжения активами, являющимися обеспечением по таким договорам, ограничена.</w:t>
            </w:r>
          </w:p>
          <w:p w14:paraId="4FD51E2D"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обязательств по указанному договору и распоряжение им, то есть возможность совершения вами сделок с ним, будет ограничено. Размер обеспечения изменяется в порядке, предусмотренном договором (спецификацией контракта), и в результате вы можете быть ограничены в возможности распоряжаться вашим имуществом в большей степени, чем до заключения договора.</w:t>
            </w:r>
          </w:p>
          <w:p w14:paraId="3DF391F8" w14:textId="19F2F335"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Также необходимо учесть возможность принудительного закрытия позиции. 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w:t>
            </w:r>
            <w:r w:rsidR="006522C0" w:rsidRPr="0075656B">
              <w:rPr>
                <w:rFonts w:ascii="Times New Roman" w:hAnsi="Times New Roman"/>
                <w:sz w:val="16"/>
                <w:szCs w:val="16"/>
              </w:rPr>
              <w:t>договора о брокерском обслуживании</w:t>
            </w:r>
            <w:r w:rsidRPr="0075656B">
              <w:rPr>
                <w:rFonts w:ascii="Times New Roman" w:hAnsi="Times New Roman"/>
                <w:sz w:val="16"/>
                <w:szCs w:val="16"/>
              </w:rPr>
              <w:t>, что должно быть сделано в короткий срок, который может быть недостаточен для вас. Обслуживающий вас брокер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14:paraId="4433A6F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Вы можете понести значительные </w:t>
            </w:r>
            <w:proofErr w:type="gramStart"/>
            <w:r w:rsidRPr="0075656B">
              <w:rPr>
                <w:rFonts w:ascii="Times New Roman" w:hAnsi="Times New Roman"/>
                <w:sz w:val="16"/>
                <w:szCs w:val="16"/>
              </w:rPr>
              <w:t>убытки, несмотря на то, что</w:t>
            </w:r>
            <w:proofErr w:type="gramEnd"/>
            <w:r w:rsidRPr="0075656B">
              <w:rPr>
                <w:rFonts w:ascii="Times New Roman" w:hAnsi="Times New Roman"/>
                <w:sz w:val="16"/>
                <w:szCs w:val="16"/>
              </w:rPr>
              <w:t xml:space="preserve">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Размер указанных убытков при неблагоприятном стечении обстоятельств может превысить стоимость находящихся на вашем счету активов.</w:t>
            </w:r>
          </w:p>
          <w:p w14:paraId="0C9943B3" w14:textId="15FA7AF4"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Риск ликвидности</w:t>
            </w:r>
          </w:p>
          <w:p w14:paraId="6EC6E81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Трудности с закрытием позиций и потери в цене могут привести к увеличению убытков от производных финансовых инструментов по сравнению с обычными сделками.</w:t>
            </w:r>
          </w:p>
          <w:p w14:paraId="5FC1BD4C"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Если ваша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убыткам.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14:paraId="268806D2"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Если заключенный вами договор, являющийся производным финансовым инструментом, неликвиден, и у вас возникла необходимость закрыть позицию, обязательно рассматривайте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14:paraId="4B7A6394"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14:paraId="314B14E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Операции с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влекут также риски, связанные с иностранным происхождением базисного актива.</w:t>
            </w:r>
          </w:p>
          <w:p w14:paraId="286EEB7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424B26F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Убедитесь, что настоящая Декларация о рисках понятна вам, и при необходимости получите разъяснения у вашего брокера или консультанта, специализирующегося на соответствующих вопросах.</w:t>
            </w:r>
          </w:p>
          <w:p w14:paraId="6D377069" w14:textId="3A0E3847"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rPr>
                <w:rFonts w:ascii="Times New Roman" w:eastAsia="MS Gothic" w:hAnsi="Times New Roman"/>
                <w:b/>
                <w:sz w:val="20"/>
                <w:szCs w:val="20"/>
              </w:rPr>
            </w:pPr>
            <w:r w:rsidRPr="0075656B">
              <w:rPr>
                <w:rFonts w:ascii="Times New Roman" w:eastAsia="MS Gothic" w:hAnsi="Times New Roman"/>
                <w:b/>
                <w:sz w:val="20"/>
                <w:szCs w:val="20"/>
              </w:rPr>
              <w:t>Декларация о рисках, связанных с приобретением иностранных ценных бумаг</w:t>
            </w:r>
          </w:p>
          <w:p w14:paraId="6B193C33" w14:textId="51CAD418"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Целью настоящей Декларации является предоставление клиенту информации о рисках, связанных с приобретением иностранных ценных бумаг. Иностранные ценные бумаги могут быть приобретены за рубежом или на российском, в том числе, организованном, фондовом рынке.</w:t>
            </w:r>
          </w:p>
          <w:p w14:paraId="4227609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Операциям с иностранными ценными бумагами присущи общие риски, связанные с операциями на рынке ценных бумаг со следующими особенностями.</w:t>
            </w:r>
          </w:p>
          <w:p w14:paraId="7BB28368" w14:textId="0ABAF08C"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w:t>
            </w:r>
            <w:r w:rsidRPr="0075656B">
              <w:rPr>
                <w:rFonts w:ascii="Times New Roman" w:hAnsi="Times New Roman"/>
                <w:sz w:val="16"/>
                <w:szCs w:val="16"/>
              </w:rPr>
              <w:t>. Системные риски</w:t>
            </w:r>
          </w:p>
          <w:p w14:paraId="0A683036"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lastRenderedPageBreak/>
              <w:t>Применительно к иностранным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бумаги.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иностранной ценной бумаге.</w:t>
            </w:r>
          </w:p>
          <w:p w14:paraId="5A0E2BC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в иностранную ценную бумагу является «суверенный рейтинг» в иностранной или национальной валюте, присвоенный стране, в которой зарегистрирован эмитент, международными рейтинговыми агентствами MOODY’S, STANDARD &amp; POOR'S, FITCH RATINGS, однако следует иметь в виду, что рейтинги являются лишь ориентирами и могут в конкретный момент не соответствовать реальной ситуации.</w:t>
            </w:r>
          </w:p>
          <w:p w14:paraId="6CB373C5"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случае совершения сделок с иностранными депозитарными расписками помимо рисков, связанных с эмитентом самих расписок, необходимо учитывать и риски, связанные с эмитентом представляемых данными расписками иностранных ценных бумаг.</w:t>
            </w:r>
          </w:p>
          <w:p w14:paraId="3B6D4906"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настоящее время законодательство разрешает российскими инвесторами, в том числе не являющимися квалифицированными, приобретение допущенных к публичному размещению и (или) публичному обращению в Российской Федерации иностранных ценных бумаг как за рубежом, так и в России, а также позволяет учет прав на такие ценные бумаги российскими депозитариями. Между тем, существуют риски изменения регулятивных подходов к владению и операциям, а также к учету прав на иностранные финансовые инструменты, в результате чего может возникнуть необходимость по их отчуждению вопреки вашим планам.</w:t>
            </w:r>
          </w:p>
          <w:p w14:paraId="6A9739C7" w14:textId="3CC6CD5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Правовые риски</w:t>
            </w:r>
          </w:p>
          <w:p w14:paraId="469075E3"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приобретении иностранных ценных бумаг необходимо отдавать себе отчет в том, что они не всегда являются аналогами российских ценных бумаг. В любом случае, предоставляемые по ним права и правила их осуществления могут существенно отличаться от прав по российским ценным бумагам.</w:t>
            </w:r>
          </w:p>
          <w:p w14:paraId="2F076334"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Возможности судебной защиты прав по иностранным ценным бумагам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при операциях с иностранными ценными бумагами вы в большинстве случаев не сможете полагаться на защиту своих прав и законных интересов российскими уполномоченными органами.</w:t>
            </w:r>
          </w:p>
          <w:p w14:paraId="49757E48" w14:textId="6D2EFE2F"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III</w:t>
            </w:r>
            <w:r w:rsidRPr="0075656B">
              <w:rPr>
                <w:rFonts w:ascii="Times New Roman" w:hAnsi="Times New Roman"/>
                <w:sz w:val="16"/>
                <w:szCs w:val="16"/>
              </w:rPr>
              <w:t>. Раскрытие информации</w:t>
            </w:r>
          </w:p>
          <w:p w14:paraId="3B7A796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Российское законодательство допускает раскрытие информации в отношении иностранных ценных бумаг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649152AA"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361D3E9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00C23F75" w14:textId="1D71675C"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rPr>
                <w:rFonts w:ascii="Times New Roman" w:eastAsia="MS Gothic" w:hAnsi="Times New Roman"/>
                <w:b/>
                <w:sz w:val="20"/>
                <w:szCs w:val="20"/>
              </w:rPr>
            </w:pPr>
            <w:r w:rsidRPr="0075656B">
              <w:rPr>
                <w:rFonts w:ascii="Times New Roman" w:eastAsia="MS Gothic" w:hAnsi="Times New Roman"/>
                <w:b/>
                <w:sz w:val="20"/>
                <w:szCs w:val="20"/>
              </w:rPr>
              <w:t>Декларация о рисках, связанных с приобретением иностранных облигаций</w:t>
            </w:r>
          </w:p>
          <w:p w14:paraId="6CB7BEE4" w14:textId="186909EE"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Настоящая Декларация раскрывает отдельные специальные риски, связанные с инвестициями в иностранные облигации. Общие риски, связанные с операциями с иностранными ценными бумагами, изложены в Декларации о рисках, связанных с приобретением иностранных ценных бумаг.</w:t>
            </w:r>
          </w:p>
          <w:p w14:paraId="602330CE" w14:textId="3516DC1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w:t>
            </w:r>
            <w:r w:rsidRPr="0075656B">
              <w:rPr>
                <w:rFonts w:ascii="Times New Roman" w:hAnsi="Times New Roman"/>
                <w:sz w:val="16"/>
                <w:szCs w:val="16"/>
              </w:rPr>
              <w:t>. Риски, связанные с участием в корпоративных действиях</w:t>
            </w:r>
          </w:p>
          <w:p w14:paraId="411431F7"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принятии решения об инвестировании денежных средств в иностранные облигации необходимо учитывать, что российские депозитарии, в которых может осуществляться учет прав на иностранные облигации, не могут гарантировать потенциальным инвесторам возможность участия во всех корпоративных действиях иностранных эмитентов облигаций и собраниях владельцев облигаций, поскольку реализация указанных прав зависит от особенностей правового регулирования страны регистрации эмитента и/или страны регистрации иностранной биржи, на которой обращаются иностранные облигации, а также особенностей порядка учета прав в международных центральных депозитариях.</w:t>
            </w:r>
          </w:p>
          <w:p w14:paraId="3ECDB67C"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Участие в добровольных корпоративных действиях возможно только в случае, если сумма номиналов принадлежащих инвестору иностранных облигаций равна минимальной деноминации или превышает ее. Вместе с тем, эмитентом могут быть установлены условия участия в добровольных корпоративных действиях, не предполагающих наличия каких-либо ограничений по деноминации.</w:t>
            </w:r>
          </w:p>
          <w:p w14:paraId="74DE8025"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Аналогичные риски могут возникнуть при участии в обязательных корпоративных действиях.</w:t>
            </w:r>
          </w:p>
          <w:p w14:paraId="16E70820"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Потенциальные инвесторы должны внимательно ознакомиться с ограничениями, установленными в проспекте иностранных облигаций относительно участия в добровольных/обязательных корпоративных действиях и принять решение об инвестировании денежных средств в конкретные иностранные облигации с учетом данных ограничений и собственных целей инвестирования.</w:t>
            </w:r>
          </w:p>
          <w:p w14:paraId="382F70B1" w14:textId="0E2037D1"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Риски, связанные с установлением в эмиссионных документах минимальной деноминации</w:t>
            </w:r>
          </w:p>
          <w:p w14:paraId="0F03119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Проспект иностранных облигаций может содержать нормы о минимальной деноминации, устанавливающие ограничение на обращение ценных бумаг в странах ЕС (минимальный торговый лот, доступный к продаже). Проспектом иностранных облигаций также могут быть установлены ограничения по торговле в размере деноминации (минимальный торговый лот, доступный к продаже) в других странах, в которых ценные бумаги эмитента имеют листинг.</w:t>
            </w:r>
          </w:p>
          <w:p w14:paraId="03C5A44C"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Наличие в проспекте иностранных облигаций минимальной деноминации означает, что международные центральные депозитарии смогут учесть торгово-расчетные операции только с объемом ценных бумаг, превышающим или равным деноминации (например, USD </w:t>
            </w:r>
            <w:r w:rsidRPr="0075656B">
              <w:rPr>
                <w:rFonts w:ascii="Times New Roman" w:hAnsi="Times New Roman"/>
                <w:sz w:val="16"/>
                <w:szCs w:val="16"/>
              </w:rPr>
              <w:lastRenderedPageBreak/>
              <w:t xml:space="preserve">100 000) и кратным шагу деноминации (например, USD 1000). Соответственно, наличие в проспекте иностранных облигаций таких ограничений может повлечь риски, связанные с отсутствием у инвестора возможности перевести иностранные ценные бумаги в </w:t>
            </w:r>
            <w:proofErr w:type="spellStart"/>
            <w:r w:rsidRPr="0075656B">
              <w:rPr>
                <w:rFonts w:ascii="Times New Roman" w:hAnsi="Times New Roman"/>
                <w:sz w:val="16"/>
                <w:szCs w:val="16"/>
              </w:rPr>
              <w:t>Clearstream</w:t>
            </w:r>
            <w:proofErr w:type="spellEnd"/>
            <w:r w:rsidRPr="0075656B">
              <w:rPr>
                <w:rFonts w:ascii="Times New Roman" w:hAnsi="Times New Roman"/>
                <w:sz w:val="16"/>
                <w:szCs w:val="16"/>
              </w:rPr>
              <w:t xml:space="preserve"> и/или </w:t>
            </w:r>
            <w:proofErr w:type="spellStart"/>
            <w:r w:rsidRPr="0075656B">
              <w:rPr>
                <w:rFonts w:ascii="Times New Roman" w:hAnsi="Times New Roman"/>
                <w:sz w:val="16"/>
                <w:szCs w:val="16"/>
              </w:rPr>
              <w:t>Euroclear</w:t>
            </w:r>
            <w:proofErr w:type="spellEnd"/>
            <w:r w:rsidRPr="0075656B">
              <w:rPr>
                <w:rFonts w:ascii="Times New Roman" w:hAnsi="Times New Roman"/>
                <w:sz w:val="16"/>
                <w:szCs w:val="16"/>
              </w:rPr>
              <w:t>.</w:t>
            </w:r>
          </w:p>
          <w:p w14:paraId="503CA910" w14:textId="320744A1"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Для инвесторов, которые приобрели в Российской Федерации пакет иностранных облигаций общим объемом, который меньше установленного размера минимальной деноминации, и которые намерены вывести облигации для расчетов в </w:t>
            </w:r>
            <w:proofErr w:type="spellStart"/>
            <w:r w:rsidR="005251B0" w:rsidRPr="0075656B">
              <w:rPr>
                <w:rFonts w:ascii="Times New Roman" w:hAnsi="Times New Roman"/>
                <w:sz w:val="16"/>
                <w:szCs w:val="16"/>
              </w:rPr>
              <w:t>Cle</w:t>
            </w:r>
            <w:proofErr w:type="spellEnd"/>
            <w:r w:rsidR="005251B0">
              <w:rPr>
                <w:rFonts w:ascii="Times New Roman" w:hAnsi="Times New Roman"/>
                <w:sz w:val="16"/>
                <w:szCs w:val="16"/>
                <w:lang w:val="en-US"/>
              </w:rPr>
              <w:t>a</w:t>
            </w:r>
            <w:proofErr w:type="spellStart"/>
            <w:r w:rsidR="005251B0" w:rsidRPr="0075656B">
              <w:rPr>
                <w:rFonts w:ascii="Times New Roman" w:hAnsi="Times New Roman"/>
                <w:sz w:val="16"/>
                <w:szCs w:val="16"/>
              </w:rPr>
              <w:t>rstream</w:t>
            </w:r>
            <w:proofErr w:type="spellEnd"/>
            <w:r w:rsidR="005251B0" w:rsidRPr="0075656B">
              <w:rPr>
                <w:rFonts w:ascii="Times New Roman" w:hAnsi="Times New Roman"/>
                <w:sz w:val="16"/>
                <w:szCs w:val="16"/>
              </w:rPr>
              <w:t xml:space="preserve"> </w:t>
            </w:r>
            <w:r w:rsidRPr="0075656B">
              <w:rPr>
                <w:rFonts w:ascii="Times New Roman" w:hAnsi="Times New Roman"/>
                <w:sz w:val="16"/>
                <w:szCs w:val="16"/>
              </w:rPr>
              <w:t xml:space="preserve">и/или </w:t>
            </w:r>
            <w:proofErr w:type="spellStart"/>
            <w:r w:rsidRPr="0075656B">
              <w:rPr>
                <w:rFonts w:ascii="Times New Roman" w:hAnsi="Times New Roman"/>
                <w:sz w:val="16"/>
                <w:szCs w:val="16"/>
              </w:rPr>
              <w:t>Euroclear</w:t>
            </w:r>
            <w:proofErr w:type="spellEnd"/>
            <w:r w:rsidRPr="0075656B">
              <w:rPr>
                <w:rFonts w:ascii="Times New Roman" w:hAnsi="Times New Roman"/>
                <w:sz w:val="16"/>
                <w:szCs w:val="16"/>
              </w:rPr>
              <w:t xml:space="preserve">, наличие в проспекте иностранных облигаций требований к минимальной деноминации, может повлечь риски, связанные с отказом </w:t>
            </w:r>
            <w:proofErr w:type="spellStart"/>
            <w:r w:rsidR="005251B0" w:rsidRPr="0075656B">
              <w:rPr>
                <w:rFonts w:ascii="Times New Roman" w:hAnsi="Times New Roman"/>
                <w:sz w:val="16"/>
                <w:szCs w:val="16"/>
              </w:rPr>
              <w:t>Cle</w:t>
            </w:r>
            <w:proofErr w:type="spellEnd"/>
            <w:r w:rsidR="005251B0">
              <w:rPr>
                <w:rFonts w:ascii="Times New Roman" w:hAnsi="Times New Roman"/>
                <w:sz w:val="16"/>
                <w:szCs w:val="16"/>
                <w:lang w:val="en-US"/>
              </w:rPr>
              <w:t>a</w:t>
            </w:r>
            <w:proofErr w:type="spellStart"/>
            <w:r w:rsidR="005251B0" w:rsidRPr="0075656B">
              <w:rPr>
                <w:rFonts w:ascii="Times New Roman" w:hAnsi="Times New Roman"/>
                <w:sz w:val="16"/>
                <w:szCs w:val="16"/>
              </w:rPr>
              <w:t>rstream</w:t>
            </w:r>
            <w:proofErr w:type="spellEnd"/>
            <w:r w:rsidR="005251B0" w:rsidRPr="0075656B">
              <w:rPr>
                <w:rFonts w:ascii="Times New Roman" w:hAnsi="Times New Roman"/>
                <w:sz w:val="16"/>
                <w:szCs w:val="16"/>
              </w:rPr>
              <w:t xml:space="preserve"> </w:t>
            </w:r>
            <w:r w:rsidRPr="0075656B">
              <w:rPr>
                <w:rFonts w:ascii="Times New Roman" w:hAnsi="Times New Roman"/>
                <w:sz w:val="16"/>
                <w:szCs w:val="16"/>
              </w:rPr>
              <w:t xml:space="preserve">и/или </w:t>
            </w:r>
            <w:proofErr w:type="spellStart"/>
            <w:r w:rsidRPr="0075656B">
              <w:rPr>
                <w:rFonts w:ascii="Times New Roman" w:hAnsi="Times New Roman"/>
                <w:sz w:val="16"/>
                <w:szCs w:val="16"/>
              </w:rPr>
              <w:t>Euroclear</w:t>
            </w:r>
            <w:proofErr w:type="spellEnd"/>
            <w:r w:rsidRPr="0075656B">
              <w:rPr>
                <w:rFonts w:ascii="Times New Roman" w:hAnsi="Times New Roman"/>
                <w:sz w:val="16"/>
                <w:szCs w:val="16"/>
              </w:rPr>
              <w:t xml:space="preserve"> осуществить операцию, и необходимость приобрести дополнительно к своему пакету облигации для выполнения требования к минимальной деноминации (данные риски отсутствуют в случае расчетов в российском депозитарии).</w:t>
            </w:r>
          </w:p>
          <w:p w14:paraId="422EA028" w14:textId="441A05F2"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III</w:t>
            </w:r>
            <w:r w:rsidRPr="0075656B">
              <w:rPr>
                <w:rFonts w:ascii="Times New Roman" w:hAnsi="Times New Roman"/>
                <w:sz w:val="16"/>
                <w:szCs w:val="16"/>
              </w:rPr>
              <w:t>. Правовые риски</w:t>
            </w:r>
          </w:p>
          <w:p w14:paraId="11C2F41A"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приобретении иностранных облигаций необходимо иметь в виду, что они не всегда являются аналогами российских облигаций. В любом случае, предоставляемые по ним права и правила их осуществления могут существенно отличаться от прав по российским облигациям, в частности, иностранная облигация может не предусматривать право ее владельца на получение от эмитента облигации в предусмотренный в ней срок ее полной номинальной стоимости или иного имущественного эквивалента при наступлении событий или условий, предусмотренных эмиссионными документами.</w:t>
            </w:r>
          </w:p>
          <w:p w14:paraId="7F1B4D8D" w14:textId="1153E9C1"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IV</w:t>
            </w:r>
            <w:r w:rsidRPr="0075656B">
              <w:rPr>
                <w:rFonts w:ascii="Times New Roman" w:hAnsi="Times New Roman"/>
                <w:sz w:val="16"/>
                <w:szCs w:val="16"/>
              </w:rPr>
              <w:t>. Геополитические риски</w:t>
            </w:r>
          </w:p>
          <w:p w14:paraId="557B1EB2"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 принятии инвестиционных решений потенциальные инвестор должен внимательно ознакомиться с геополитическими рисками, в т.ч. с наличием санкций в отношении эмитента (лица, выдавшего иностранные облигации), заемщика, кредитной организации, в которой открыт счет, депозитария, в котором будут учитываться права на иностранные облигации. В случае наличия каких-либо законодательных и/или регулятивных ограничений и/или санкций в отношении указанных выше организаций, а также самого инвестора, инвестор несет риски, связанные с неполучением выплаты номинальной стоимости и купонного дохода по иностранным облигациям в валюте номинальной стоимости. В случае отсутствия у лица, получающего выплату по иностранным облигациям, счета, позволяющего зачислить денежные средства в иностранной валюте, инвестор несет риск получения сумм по иностранным облигациям в рублях Российской Федерации по курсу, установленному кредитной организацией в соответствии с внутренними правилами такой кредитной организации.</w:t>
            </w:r>
          </w:p>
          <w:p w14:paraId="6F5571E5"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Приобретатель иностранных облигаций самостоятельно оценивает и несет риск того, что законодательство Российской Федерации может содержать запрет на инвестирование денежных средств в определенные иностранные облигации.</w:t>
            </w:r>
          </w:p>
          <w:p w14:paraId="3BFF5939"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Приобретатель иностранных облигаций самостоятельно оценивает и несет риск того, что личный закон депозитария, в котором ему открыт счет депо, предназначенный для учета прав на иностранные облигации или личный закон депозитария/международного центрального депозитария, по счету депо которого должна пройти транзакция иностранных облигаций, запрещает данному депозитарию содействовать финансированию в иностранные облигации эмитента.</w:t>
            </w:r>
          </w:p>
          <w:p w14:paraId="4E0EC370"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Приобретатель иностранных облигаций самостоятельно оценивает и несет риск того, что личный закон кредитной организации, в которой приобретатель открывает валютный банковский счет в иностранной валюте или личный закон кредитной организации, по корреспондентскому счету которой должны пройти выплаты доходов по иностранным облигациям в денежной форме и иные причитающиеся владельцам таких ценных бумаг денежные выплаты, запрещает такой кредитной организации участвовать в переводе средств, предназначенных для указанных выплат по иностранным облигациям.</w:t>
            </w:r>
          </w:p>
          <w:p w14:paraId="276C7076"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Перечень рисков, приведенный в настоящей Декларации, не является исчерпывающим.</w:t>
            </w:r>
          </w:p>
          <w:p w14:paraId="0623315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0F29961A" w14:textId="3376963D" w:rsidR="00267B40" w:rsidRPr="0075656B" w:rsidRDefault="00267B40" w:rsidP="00747B3A">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Декларация о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
          <w:p w14:paraId="49702AB4"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Цель настоящей Декларации - предоставить вам общую информацию об основных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(далее – производные финансовые инструменты с иностранным базисным активом). Заключение указанных договоров связано с рисками, характерными для всех производных финансовых инструментов, а также специфическими рисками, обусловленными иностранным происхождением базисного актива.</w:t>
            </w:r>
          </w:p>
          <w:p w14:paraId="6F230B43" w14:textId="5B6151C5"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w:t>
            </w:r>
            <w:r w:rsidRPr="0075656B">
              <w:rPr>
                <w:rFonts w:ascii="Times New Roman" w:hAnsi="Times New Roman"/>
                <w:sz w:val="16"/>
                <w:szCs w:val="16"/>
              </w:rPr>
              <w:t>. Риски, связанные производными финансовыми инструментами</w:t>
            </w:r>
          </w:p>
          <w:p w14:paraId="2E73FB4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Данные инструменты подходят не всем клиентам. Более того, некоторые виды производных финансовых инструментов сопряжены с большим уровнем риска, чем другие. Так, при покупке опционного контракта потери клиента не превысят величину уплаченных премии, вознаграждения и расходов, связанных с их совершением. Продажа опционных контрактов с точки зрения риска клиента и заключение фьючерсных контрактов, форвардных контрактов и своп контрактов сопоставимы - при относительно небольших неблагоприятных колебаниях цен на рынке вы подвергаетесь риску значительных убытков, при этом в случае продажи фьючерсных и форвардных контрактов и продажи опционов на покупку (опционов «колл») неограниченных убытков. С учетом этого, совершение сделок по продаже опционных контрактов и заключение фьючерсных и форвардных контрактов может быть рекомендовано только опытным инвесторам, обладающим значительными финансовыми возможностями и практическими знаниями в области применения инвестиционных стратегий.</w:t>
            </w:r>
          </w:p>
          <w:p w14:paraId="327CC3D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Настоящая Декларация относится также и к производным финансовым инструментам, направленным на снижение рисков других операций на фондовом рынке. Внимательно оцените, как ваши производные финансовые инструменты соотносятся с операциями, риски по которым вы намерены ограничить, и убедитесь, что объем вашей позиции на срочном рынке соответствует объему позиции на спот рынке, которую вы хеджируете.</w:t>
            </w:r>
          </w:p>
          <w:p w14:paraId="7770F2A7" w14:textId="52F065AE"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1. </w:t>
            </w:r>
            <w:r w:rsidR="00267B40" w:rsidRPr="0075656B">
              <w:rPr>
                <w:rFonts w:ascii="Times New Roman" w:hAnsi="Times New Roman"/>
                <w:sz w:val="16"/>
                <w:szCs w:val="16"/>
              </w:rPr>
              <w:t>Рыночный (ценовой) риск</w:t>
            </w:r>
          </w:p>
          <w:p w14:paraId="4319E6A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Помимо общего рыночного (ценового) риска, который несет клиент, совершающий операции на рынке ценных бумаг, вы, в случае заключения фьючерсных, форвардных и своп договоров (контрактов), а также в случае продажи опционных контрактов, будете нести </w:t>
            </w:r>
            <w:r w:rsidRPr="0075656B">
              <w:rPr>
                <w:rFonts w:ascii="Times New Roman" w:hAnsi="Times New Roman"/>
                <w:sz w:val="16"/>
                <w:szCs w:val="16"/>
              </w:rPr>
              <w:lastRenderedPageBreak/>
              <w:t>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w:t>
            </w:r>
          </w:p>
          <w:p w14:paraId="53B37E59"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В случае неблагоприятного изменения цены вы можете в сравнительно короткий срок потерять средства, являющиеся обеспечением производных финансовых инструментов. </w:t>
            </w:r>
          </w:p>
          <w:p w14:paraId="2802EDB5" w14:textId="3C26D91F"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2. </w:t>
            </w:r>
            <w:r w:rsidR="00267B40" w:rsidRPr="0075656B">
              <w:rPr>
                <w:rFonts w:ascii="Times New Roman" w:hAnsi="Times New Roman"/>
                <w:sz w:val="16"/>
                <w:szCs w:val="16"/>
              </w:rPr>
              <w:t xml:space="preserve">Риск ликвидности </w:t>
            </w:r>
          </w:p>
          <w:p w14:paraId="1365F646"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Если ваша инвестиционная стратегия предусматривает возможность возникновения необходимости закрытия позиции по соответствующему контракту (или заключения сделки с иным контрактом, которая снижает риск по данному контракту), обращайте внимание на ликвидность соответствующих контрактов, так как закрытие позиций по неликвидным контрактам может привести к значительным дополнительным убыткам в связи с их низкой ликвидностью. Обратите внимание, что, как правило, контракты с более отдаленными сроками исполнения менее ликвидны по сравнению с контрактами с близкими сроками исполнения.</w:t>
            </w:r>
          </w:p>
          <w:p w14:paraId="49A593C7"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Если заключенный вами договор, являющийся производным финансовым инструментом, неликвиден, и у вас возникла необходимость закрыть позицию, обязательно рассматривайте помимо закрытия позиции по данному контракту альтернативные варианты исключения риска посредством заключения сделок с иными производными финансовыми инструментами или с базисными активами. Использование альтернативных вариантов может привести к меньшим убыткам.</w:t>
            </w:r>
          </w:p>
          <w:p w14:paraId="7023038B"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При этом трудности с закрытием позиций и потери в цене могут привести к увеличению убытков по сравнению с обычными сделками. </w:t>
            </w:r>
          </w:p>
          <w:p w14:paraId="0A4BEBED"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Ваши поручения, направленные на ограничение убытков, не всегда могут ограничить потери до предполагаемого уровня, так как в рамках складывающейся на рынке ситуации исполнение такого поручения по указанной вами цене может оказаться невозможным.</w:t>
            </w:r>
          </w:p>
          <w:p w14:paraId="1DA6A377" w14:textId="7EF6ED53"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3. </w:t>
            </w:r>
            <w:r w:rsidR="00267B40" w:rsidRPr="0075656B">
              <w:rPr>
                <w:rFonts w:ascii="Times New Roman" w:hAnsi="Times New Roman"/>
                <w:sz w:val="16"/>
                <w:szCs w:val="16"/>
              </w:rPr>
              <w:t>Ограничение распоряжения средствами, являющимися обеспечением</w:t>
            </w:r>
          </w:p>
          <w:p w14:paraId="1CD9C0D5"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Имущество (часть имущества), принадлежащее вам, в результате заключения договора, являющегося производным финансовым инструментом, будет являться обеспечением исполнения ваших обязательств по договору и распоряжение им, то есть возможность совершения вами сделок с ним, будет ограничено. Размер обеспечения изменяется в порядке, предусмотренном договором (спецификацией контракта), и в результате вы можете быть ограничены в возможности распоряжаться своим имуществом в большей степени, чем до заключения договора.</w:t>
            </w:r>
          </w:p>
          <w:p w14:paraId="68C7727C" w14:textId="78588A92"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xml:space="preserve">. </w:t>
            </w:r>
            <w:r w:rsidR="00267B40" w:rsidRPr="0075656B">
              <w:rPr>
                <w:rFonts w:ascii="Times New Roman" w:hAnsi="Times New Roman"/>
                <w:sz w:val="16"/>
                <w:szCs w:val="16"/>
              </w:rPr>
              <w:t>Риск принудительного закрытия позиции</w:t>
            </w:r>
          </w:p>
          <w:p w14:paraId="467FE759" w14:textId="10AEA27E"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Неблагоприятное изменение цены может привести к необходимости внести дополнительные средства для того, чтобы привести обеспечение в соответствие с требованиями нормативных актов и </w:t>
            </w:r>
            <w:r w:rsidR="006522C0" w:rsidRPr="0075656B">
              <w:rPr>
                <w:rFonts w:ascii="Times New Roman" w:hAnsi="Times New Roman"/>
                <w:sz w:val="16"/>
                <w:szCs w:val="16"/>
              </w:rPr>
              <w:t>договора о брокерском обслуживании</w:t>
            </w:r>
            <w:r w:rsidRPr="0075656B">
              <w:rPr>
                <w:rFonts w:ascii="Times New Roman" w:hAnsi="Times New Roman"/>
                <w:sz w:val="16"/>
                <w:szCs w:val="16"/>
              </w:rPr>
              <w:t>, что должно быть сделано в короткий срок, которого может быть недостаточно для вас. ваш брокер в этом случае вправе без вашего дополнительного согласия «принудительно закрыть позицию», то есть заключить договор, являющийся производным финансовым инструментом, или приобрести ценные бумаги за счет ваших денежных средств, или продать ваши ценные бумаги. Это может быть сделано по существующим, в том числе невыгодным, ценам и привести к возникновению у вас убытков.</w:t>
            </w:r>
          </w:p>
          <w:p w14:paraId="33DB152E"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Принудительное закрытие позиции направлено на управление рисками. Вы можете понести значительные убытки несмотря на то, что после этого изменение цен на финансовые инструменты может принять благоприятное для вас направление и вы получили бы доход, если бы ваша позиция не была закрыта. </w:t>
            </w:r>
          </w:p>
          <w:p w14:paraId="76C84300" w14:textId="24D96ABD"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lang w:val="en-US"/>
              </w:rPr>
              <w:t>III</w:t>
            </w:r>
            <w:r w:rsidRPr="0075656B">
              <w:rPr>
                <w:rFonts w:ascii="Times New Roman" w:hAnsi="Times New Roman"/>
                <w:sz w:val="16"/>
                <w:szCs w:val="16"/>
              </w:rPr>
              <w:t xml:space="preserve">. </w:t>
            </w:r>
            <w:r w:rsidR="00267B40" w:rsidRPr="0075656B">
              <w:rPr>
                <w:rFonts w:ascii="Times New Roman" w:hAnsi="Times New Roman"/>
                <w:sz w:val="16"/>
                <w:szCs w:val="16"/>
              </w:rPr>
              <w:t>Риски, обусловленные иностранным происхождением базисного актива</w:t>
            </w:r>
          </w:p>
          <w:p w14:paraId="7BBF472A" w14:textId="7A13B8BE"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1. </w:t>
            </w:r>
            <w:r w:rsidR="00267B40" w:rsidRPr="0075656B">
              <w:rPr>
                <w:rFonts w:ascii="Times New Roman" w:hAnsi="Times New Roman"/>
                <w:sz w:val="16"/>
                <w:szCs w:val="16"/>
              </w:rPr>
              <w:t>Системные риски</w:t>
            </w:r>
          </w:p>
          <w:p w14:paraId="741A134F"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Применительно к базисному активу производных финансовых инструментов – ценным бумагам иностранных эмитентов и индексам, рассчитанным по таким ценным бумагам, системные риски, свойственные российскому фондовому рынку дополняются аналогичными системными рисками, свойственными стране, где выпущены или обращаются соответствующие иностранные ценные бумаг. К основным факторам, влияющим на уровень системного риска в целом, относятся политическая ситуация, особенности национального законодательства, валютного регулирования и вероятность их изменения, состояние государственных финансов, наличие и степень развитости финансовой системы страны места нахождения лица, обязанного по иностранным ценным бумагам.</w:t>
            </w:r>
          </w:p>
          <w:p w14:paraId="2763C40C"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 уровень системного риска могут оказывать влияние и многие другие факторы, в том числе вероятность введения ограничений на инвестиции в отдельные отрасли экономики или вероятность одномоментной девальвации национальной валюты. Общепринятой интегральной оценкой системного риска инвестиций является «суверенный рейтинг» в иностранной или национальной валюте, присвоенный стране, в которой зарегистрирован эмитент иностранной ценной бумаги, международными рейтинговыми агентствами MOODY’S, STANDARD &amp; POOR'S, FITCH RATINGS, однако следует иметь в виду, что рейтинги являются лишь ориентирами и могут в конкретный момент не соответствовать реальной ситуации.</w:t>
            </w:r>
          </w:p>
          <w:p w14:paraId="3964CE10"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настоящее время законодательство допускает возможность заключения российскими инвесторами договоров, являющихся российскими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 Между тем, существуют риски изменения регулятивных подходов к соответствующим операциям, в результате чего может возникнуть необходимость совершать сделки, направленные на прекращение обязательств по указанным договорам, вопреки вашим планам.</w:t>
            </w:r>
          </w:p>
          <w:p w14:paraId="6B41FD26" w14:textId="76494878"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2. </w:t>
            </w:r>
            <w:r w:rsidR="00267B40" w:rsidRPr="0075656B">
              <w:rPr>
                <w:rFonts w:ascii="Times New Roman" w:hAnsi="Times New Roman"/>
                <w:sz w:val="16"/>
                <w:szCs w:val="16"/>
              </w:rPr>
              <w:t>Правовые риски</w:t>
            </w:r>
          </w:p>
          <w:p w14:paraId="5D9983A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Необходимо отдавать себе отчет в том, что иностранные финансовые инструменты, являющиеся базисными активами производных финансовых инструментов, не всегда являются аналогами российских финансовых инструментов. В любом случае, предоставляемые по ним права и правила их осуществления могут существенно отличаться от прав по российским финансовым инструментам.</w:t>
            </w:r>
          </w:p>
          <w:p w14:paraId="655B95D2"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Возможности судебной защиты прав по производным финансовым инструментам с иностранным базисным активом могут быть существенно ограничены необходимостью обращения в зарубежные судебные и правоохранительные органы по установленным правилам, которые могут существенно отличаться от действующих в России. Кроме того, вы в большинстве случаев не сможете полагаться на защиту своих прав и законных интересов российскими уполномоченными органами.</w:t>
            </w:r>
          </w:p>
          <w:p w14:paraId="058F8D6F" w14:textId="53692EF8" w:rsidR="00267B40" w:rsidRPr="0075656B" w:rsidRDefault="004E19CE"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3. </w:t>
            </w:r>
            <w:r w:rsidR="00267B40" w:rsidRPr="0075656B">
              <w:rPr>
                <w:rFonts w:ascii="Times New Roman" w:hAnsi="Times New Roman"/>
                <w:sz w:val="16"/>
                <w:szCs w:val="16"/>
              </w:rPr>
              <w:t>Раскрытие информации</w:t>
            </w:r>
          </w:p>
          <w:p w14:paraId="6F317D44"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Раскрытие информации в отношении иностранных ценных бумаг, являющихся базисным активом производных финансовых инструментов, осуществляется по правилам, действующим за рубежом, и на английском языке. Оцените свою готовность анализировать информацию на английском языке, а также то, понимаете ли вы отличия между принятыми в России правилами финансовой отчетности, </w:t>
            </w:r>
            <w:r w:rsidRPr="0075656B">
              <w:rPr>
                <w:rFonts w:ascii="Times New Roman" w:hAnsi="Times New Roman"/>
                <w:sz w:val="16"/>
                <w:szCs w:val="16"/>
              </w:rPr>
              <w:lastRenderedPageBreak/>
              <w:t>Международными стандартами финансовой отчетности или правилами финансовой отчетности, по которым публикуется информация эмитентом иностранных ценных бумаг.</w:t>
            </w:r>
          </w:p>
          <w:p w14:paraId="589F7E68"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Также российские организаторы торговли и (или) брокеры могут осуществлять перевод некоторых документов (информации), раскрываемых иностранным эмитентом для вашего удобства. В этом случае перевод может восприниматься исключительно как вспомогательная информация к официально раскрытым документам (информации) на иностранном языке. Всегда учитывайте вероятность ошибок переводчика, в том числе, связанных с возможным различным переводом одних и тех же иностранных слов и фраз или отсутствием общепринятого русского эквивалента.</w:t>
            </w:r>
          </w:p>
          <w:p w14:paraId="79C13A6A"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Учитывая вышеизложенное, мы рекомендуем вам внимательно рассмотреть вопрос о том, являются ли риски, возникающие при проведении соответствующих операций, приемлемыми для вас с учетом ваших инвестиционных целей и финансовых возможностей. Данная Декларация не имеет своей целью заставить вас отказаться от осуществления таких операций, а призвана помочь вам оценить их риски и ответственно подойти к решению вопроса о выборе вашей инвестиционной стратегии и условий договора с вашим брокером.</w:t>
            </w:r>
          </w:p>
          <w:p w14:paraId="04A543DC" w14:textId="0DA96C9E" w:rsidR="004E19CE" w:rsidRPr="0075656B" w:rsidRDefault="00723DFC" w:rsidP="00747B3A">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Уведомление</w:t>
            </w:r>
            <w:r w:rsidR="004E19CE" w:rsidRPr="0075656B">
              <w:rPr>
                <w:rFonts w:ascii="Times New Roman" w:eastAsia="MS Gothic" w:hAnsi="Times New Roman"/>
                <w:b/>
                <w:sz w:val="20"/>
                <w:szCs w:val="20"/>
              </w:rPr>
              <w:t xml:space="preserve"> об общем характере и (или) источниках конфликта интересов</w:t>
            </w:r>
          </w:p>
          <w:p w14:paraId="5462CA8E" w14:textId="77777777" w:rsidR="00330FA7" w:rsidRPr="0075656B" w:rsidRDefault="00330FA7" w:rsidP="00747B3A">
            <w:pPr>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Настоящее уведомление создано с целью информирования Клиента об общем характере и (или) источниках конфликта интересов.</w:t>
            </w:r>
          </w:p>
          <w:p w14:paraId="1D0D0BAF" w14:textId="60936C8E" w:rsidR="00330FA7" w:rsidRPr="0075656B" w:rsidRDefault="00330FA7" w:rsidP="00747B3A">
            <w:pPr>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настоящем уведомлении под общим характером конфликта интересов понимается возникающее при осуществлении профессиональной деятельности на рынке ценных бумаг противоречие между имущественными и иными интересами Компании и/или членов ее органов управления, и/или ее участников, и/или ее работников, осуществляющих свою деятельность на основании трудового или гражданско-правового договора или имеющих доступ к служебной или инсайдерской информации на иных законных основаниях, и Клиента, либо между интересами нескольких Клиентов Компании, либо при совмещении видов профессиональной деятельности на рынке ценных бумаг, в результате которого действия или бездействия Компании и/или членов ее органов управления и/или ее участников и/или ее работников могут повлечь причинение убытков Клиенту и/или иные неблагоприятные последствия для Клиента.</w:t>
            </w:r>
          </w:p>
          <w:p w14:paraId="1885EDED" w14:textId="77777777" w:rsidR="00330FA7" w:rsidRPr="0075656B" w:rsidRDefault="00330FA7" w:rsidP="00747B3A">
            <w:pPr>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целях исключения конфликта интересов Компания принимает комплекс мер (в том числе меры по выявлению и контролю конфликта интересов, а также предотвращению его последствий), руководствуясь при осуществлении профессиональной деятельности принципом приоритета интересов Клиента перед собственными интересами. Вместе с тем, поскольку риск возникновения конфликта интересов не может быть исключен полностью, Компания информирует Клиента о следующих источниках конфликта интересов:</w:t>
            </w:r>
          </w:p>
          <w:p w14:paraId="65056B8C"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наличие у Компании, работников Компании, контролирующих или подконтрольных лиц Компании собственного интереса в совершении сделок с ценными бумагами/финансовыми инструментами /иными активами, изменении рыночной цены ценных бумаг /финансовых инструментов /иных активов;</w:t>
            </w:r>
          </w:p>
          <w:p w14:paraId="1BFBBA85"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участие Компании в сделке с разных сторон в интересах разных Клиентов;</w:t>
            </w:r>
          </w:p>
          <w:p w14:paraId="232F3FEF"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наличие у Компании интереса в приобретении Клиентами определенных ценных бумаг, в случаях выполнения Компанией функций андеррайтера размещаемых ценных бумаг и (или) при ином участии Компании в размещении ценных бумаг;</w:t>
            </w:r>
          </w:p>
          <w:p w14:paraId="66B46F77"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наличие у Компании интереса в приобретении, обмене или погашении Клиентами определенных паев паевых инвестиционных фондов, в случаях выполнения Компанией функций агента по выдаче, погашению и обмену инвестиционных паев;</w:t>
            </w:r>
          </w:p>
          <w:p w14:paraId="3325188D"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несовпадение интересов Компании, работников аналитического подразделения Компании и Клиента (-</w:t>
            </w:r>
            <w:proofErr w:type="spellStart"/>
            <w:r w:rsidRPr="0075656B">
              <w:rPr>
                <w:rFonts w:ascii="Times New Roman" w:eastAsia="MS Gothic" w:hAnsi="Times New Roman"/>
                <w:sz w:val="16"/>
                <w:szCs w:val="16"/>
              </w:rPr>
              <w:t>ов</w:t>
            </w:r>
            <w:proofErr w:type="spellEnd"/>
            <w:r w:rsidRPr="0075656B">
              <w:rPr>
                <w:rFonts w:ascii="Times New Roman" w:eastAsia="MS Gothic" w:hAnsi="Times New Roman"/>
                <w:sz w:val="16"/>
                <w:szCs w:val="16"/>
              </w:rPr>
              <w:t>) в процессе подготовки работниками Компании инвестиционно-аналитических исследований;</w:t>
            </w:r>
          </w:p>
          <w:p w14:paraId="312B976A" w14:textId="77777777"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нарушение принципа независимости аналитического подразделения Компании и принципов организации взаимодействия работников различных подразделений Компании (принципа «китайских стен»);</w:t>
            </w:r>
          </w:p>
          <w:p w14:paraId="705C8E34" w14:textId="169C63A3" w:rsidR="00330FA7" w:rsidRPr="0075656B" w:rsidRDefault="00330FA7" w:rsidP="00747B3A">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совмещение Компанией нескольких видов профессиональной деятельности на рынке ценных бумаг</w:t>
            </w:r>
            <w:r w:rsidR="00650338" w:rsidRPr="0075656B">
              <w:rPr>
                <w:rFonts w:ascii="Times New Roman" w:eastAsia="MS Gothic" w:hAnsi="Times New Roman"/>
                <w:sz w:val="16"/>
                <w:szCs w:val="16"/>
              </w:rPr>
              <w:t>.</w:t>
            </w:r>
          </w:p>
          <w:p w14:paraId="4304A122" w14:textId="77777777" w:rsidR="00330FA7" w:rsidRPr="0075656B" w:rsidRDefault="00330FA7" w:rsidP="00747B3A">
            <w:pPr>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Клиенту при принятии инвестиционных и иных решений в процессе взаимодействия с Компанией следует исходить из возможного наличия перечисленных обстоятельств, самостоятельно обращаться в Компанию за предоставлением дополнительных пояснений применительно к конкретной ситуации, в случае наличия у него сомнений и неразрешенных вопросов.</w:t>
            </w:r>
          </w:p>
          <w:p w14:paraId="23B8F2FB" w14:textId="18858BD8" w:rsidR="00267B40" w:rsidRPr="0075656B" w:rsidRDefault="0056726E" w:rsidP="005251B0">
            <w:pPr>
              <w:pStyle w:val="a4"/>
              <w:numPr>
                <w:ilvl w:val="0"/>
                <w:numId w:val="27"/>
              </w:numPr>
              <w:autoSpaceDE w:val="0"/>
              <w:autoSpaceDN w:val="0"/>
              <w:adjustRightInd w:val="0"/>
              <w:spacing w:before="120" w:after="120" w:line="240" w:lineRule="auto"/>
              <w:contextualSpacing w:val="0"/>
              <w:mirrorIndents/>
              <w:jc w:val="both"/>
              <w:rPr>
                <w:rFonts w:ascii="Times New Roman" w:hAnsi="Times New Roman"/>
                <w:sz w:val="16"/>
                <w:szCs w:val="16"/>
              </w:rPr>
            </w:pPr>
            <w:r w:rsidRPr="0075656B">
              <w:rPr>
                <w:rFonts w:ascii="Times New Roman" w:hAnsi="Times New Roman"/>
                <w:sz w:val="16"/>
                <w:szCs w:val="16"/>
              </w:rPr>
              <w:t>Компания уведомляет Клиента, что денежные средства, зачисляемые на специальный брокерский счет (счета), не подлежат страхованию в соответствии с Федеральным законом от 23 декабря 2003 года № 177-ФЗ «О страховании вкладов физических лиц в банках Российской Федерации»</w:t>
            </w:r>
            <w:r w:rsidR="00FD75E3" w:rsidRPr="0075656B">
              <w:rPr>
                <w:rFonts w:ascii="Times New Roman" w:hAnsi="Times New Roman"/>
                <w:sz w:val="16"/>
                <w:szCs w:val="16"/>
              </w:rPr>
              <w:t>.</w:t>
            </w:r>
          </w:p>
          <w:p w14:paraId="5652A27A" w14:textId="115E153B" w:rsidR="00FD75E3" w:rsidRPr="0075656B" w:rsidRDefault="00FD75E3" w:rsidP="005251B0">
            <w:pPr>
              <w:pStyle w:val="a4"/>
              <w:numPr>
                <w:ilvl w:val="0"/>
                <w:numId w:val="27"/>
              </w:numPr>
              <w:autoSpaceDE w:val="0"/>
              <w:autoSpaceDN w:val="0"/>
              <w:adjustRightInd w:val="0"/>
              <w:spacing w:before="120" w:after="120" w:line="240" w:lineRule="auto"/>
              <w:contextualSpacing w:val="0"/>
              <w:mirrorIndents/>
              <w:jc w:val="both"/>
              <w:rPr>
                <w:rFonts w:ascii="Times New Roman" w:hAnsi="Times New Roman"/>
                <w:sz w:val="16"/>
                <w:szCs w:val="16"/>
              </w:rPr>
            </w:pPr>
            <w:r w:rsidRPr="0075656B">
              <w:rPr>
                <w:rFonts w:ascii="Times New Roman" w:hAnsi="Times New Roman"/>
                <w:sz w:val="16"/>
                <w:szCs w:val="16"/>
              </w:rPr>
              <w:t>Компания уведомляет Клиента о праве на получение по его запросу информации о суммах платежей (порядке определения сумм платежей), которые Клиент должен будет уплатить за предоставление ему финансовой услуги, включая информацию о размере вознаграждения (порядке определения размера вознаграждения) Компании и порядка его уплаты.</w:t>
            </w:r>
          </w:p>
          <w:p w14:paraId="74D7D58E" w14:textId="07F52E4C" w:rsidR="00935369" w:rsidRPr="0075656B" w:rsidRDefault="00935369" w:rsidP="005251B0">
            <w:pPr>
              <w:pStyle w:val="a4"/>
              <w:numPr>
                <w:ilvl w:val="0"/>
                <w:numId w:val="27"/>
              </w:numPr>
              <w:autoSpaceDE w:val="0"/>
              <w:autoSpaceDN w:val="0"/>
              <w:adjustRightInd w:val="0"/>
              <w:spacing w:before="120" w:after="120" w:line="240" w:lineRule="auto"/>
              <w:contextualSpacing w:val="0"/>
              <w:mirrorIndents/>
              <w:jc w:val="both"/>
              <w:rPr>
                <w:rFonts w:ascii="Times New Roman" w:hAnsi="Times New Roman"/>
                <w:sz w:val="16"/>
                <w:szCs w:val="16"/>
              </w:rPr>
            </w:pPr>
            <w:r w:rsidRPr="0075656B">
              <w:rPr>
                <w:rFonts w:ascii="Times New Roman" w:hAnsi="Times New Roman"/>
                <w:sz w:val="16"/>
                <w:szCs w:val="16"/>
              </w:rPr>
              <w:t xml:space="preserve">Компания уведомляет Клиента о праве на получение по его запросу следующей информации (документов), связных с оказанием Компанией </w:t>
            </w:r>
            <w:r w:rsidR="00FD75E3" w:rsidRPr="0075656B">
              <w:rPr>
                <w:rFonts w:ascii="Times New Roman" w:hAnsi="Times New Roman"/>
                <w:sz w:val="16"/>
                <w:szCs w:val="16"/>
              </w:rPr>
              <w:t>услуги по приобретению пае</w:t>
            </w:r>
            <w:r w:rsidRPr="0075656B">
              <w:rPr>
                <w:rFonts w:ascii="Times New Roman" w:hAnsi="Times New Roman"/>
                <w:sz w:val="16"/>
                <w:szCs w:val="16"/>
              </w:rPr>
              <w:t xml:space="preserve">в паевых инвестиционных фондов: (i) </w:t>
            </w:r>
            <w:r w:rsidR="00FD75E3" w:rsidRPr="0075656B">
              <w:rPr>
                <w:rFonts w:ascii="Times New Roman" w:hAnsi="Times New Roman"/>
                <w:sz w:val="16"/>
                <w:szCs w:val="16"/>
              </w:rPr>
              <w:t>инвестиционную декларацию</w:t>
            </w:r>
            <w:r w:rsidRPr="0075656B">
              <w:rPr>
                <w:rFonts w:ascii="Times New Roman" w:hAnsi="Times New Roman"/>
                <w:sz w:val="16"/>
                <w:szCs w:val="16"/>
              </w:rPr>
              <w:t xml:space="preserve"> паевого инвестиционного фонда, (</w:t>
            </w:r>
            <w:proofErr w:type="spellStart"/>
            <w:r w:rsidRPr="0075656B">
              <w:rPr>
                <w:rFonts w:ascii="Times New Roman" w:hAnsi="Times New Roman"/>
                <w:sz w:val="16"/>
                <w:szCs w:val="16"/>
              </w:rPr>
              <w:t>ii</w:t>
            </w:r>
            <w:proofErr w:type="spellEnd"/>
            <w:r w:rsidRPr="0075656B">
              <w:rPr>
                <w:rFonts w:ascii="Times New Roman" w:hAnsi="Times New Roman"/>
                <w:sz w:val="16"/>
                <w:szCs w:val="16"/>
              </w:rPr>
              <w:t xml:space="preserve">) </w:t>
            </w:r>
            <w:r w:rsidR="00FD75E3" w:rsidRPr="0075656B">
              <w:rPr>
                <w:rFonts w:ascii="Times New Roman" w:hAnsi="Times New Roman"/>
                <w:sz w:val="16"/>
                <w:szCs w:val="16"/>
              </w:rPr>
              <w:t xml:space="preserve">источник получения сведений об изменении расчетной стоимости инвестиционного пая за последние шесть месяцев (в случае предоставления такой информации управляющей компанией паевого инвестиционного фонда и (или) нахождения такой </w:t>
            </w:r>
            <w:r w:rsidRPr="0075656B">
              <w:rPr>
                <w:rFonts w:ascii="Times New Roman" w:hAnsi="Times New Roman"/>
                <w:sz w:val="16"/>
                <w:szCs w:val="16"/>
              </w:rPr>
              <w:t>информации в свободном доступе), (</w:t>
            </w:r>
            <w:proofErr w:type="spellStart"/>
            <w:r w:rsidRPr="0075656B">
              <w:rPr>
                <w:rFonts w:ascii="Times New Roman" w:hAnsi="Times New Roman"/>
                <w:sz w:val="16"/>
                <w:szCs w:val="16"/>
              </w:rPr>
              <w:t>iii</w:t>
            </w:r>
            <w:proofErr w:type="spellEnd"/>
            <w:r w:rsidRPr="0075656B">
              <w:rPr>
                <w:rFonts w:ascii="Times New Roman" w:hAnsi="Times New Roman"/>
                <w:sz w:val="16"/>
                <w:szCs w:val="16"/>
              </w:rPr>
              <w:t xml:space="preserve">) </w:t>
            </w:r>
            <w:r w:rsidR="00FD75E3" w:rsidRPr="0075656B">
              <w:rPr>
                <w:rFonts w:ascii="Times New Roman" w:hAnsi="Times New Roman"/>
                <w:sz w:val="16"/>
                <w:szCs w:val="16"/>
              </w:rPr>
              <w:t>размер вознаграждения управляющей компании и общий размер вознаграждения специализированного депозитария, лица, осуществляющего ведение реестра владельцев инвестиционных паев, аудиторской организации, а также оценщика, если инвестиционная декларация паевого инвестиционного фонда предусматривает возможность инвестирования в имущество, оценка ко</w:t>
            </w:r>
            <w:r w:rsidRPr="0075656B">
              <w:rPr>
                <w:rFonts w:ascii="Times New Roman" w:hAnsi="Times New Roman"/>
                <w:sz w:val="16"/>
                <w:szCs w:val="16"/>
              </w:rPr>
              <w:t>торого осуществляется оценщиком, (</w:t>
            </w:r>
            <w:proofErr w:type="spellStart"/>
            <w:r w:rsidRPr="0075656B">
              <w:rPr>
                <w:rFonts w:ascii="Times New Roman" w:hAnsi="Times New Roman"/>
                <w:sz w:val="16"/>
                <w:szCs w:val="16"/>
              </w:rPr>
              <w:t>iv</w:t>
            </w:r>
            <w:proofErr w:type="spellEnd"/>
            <w:r w:rsidRPr="0075656B">
              <w:rPr>
                <w:rFonts w:ascii="Times New Roman" w:hAnsi="Times New Roman"/>
                <w:sz w:val="16"/>
                <w:szCs w:val="16"/>
              </w:rPr>
              <w:t xml:space="preserve">) </w:t>
            </w:r>
            <w:r w:rsidR="00FD75E3" w:rsidRPr="0075656B">
              <w:rPr>
                <w:rFonts w:ascii="Times New Roman" w:hAnsi="Times New Roman"/>
                <w:sz w:val="16"/>
                <w:szCs w:val="16"/>
              </w:rPr>
              <w:t>порядок и сроки выплаты денежной компенсации в связи с погашением инвестиционных паев.</w:t>
            </w:r>
          </w:p>
          <w:p w14:paraId="7ECDB7FC" w14:textId="177444D6" w:rsidR="00014716" w:rsidRPr="0075656B" w:rsidRDefault="00935369" w:rsidP="005251B0">
            <w:pPr>
              <w:pStyle w:val="a4"/>
              <w:numPr>
                <w:ilvl w:val="0"/>
                <w:numId w:val="27"/>
              </w:numPr>
              <w:autoSpaceDE w:val="0"/>
              <w:autoSpaceDN w:val="0"/>
              <w:adjustRightInd w:val="0"/>
              <w:spacing w:before="120" w:after="120" w:line="240" w:lineRule="auto"/>
              <w:contextualSpacing w:val="0"/>
              <w:mirrorIndents/>
              <w:jc w:val="both"/>
              <w:rPr>
                <w:rFonts w:ascii="Times New Roman" w:hAnsi="Times New Roman"/>
                <w:sz w:val="16"/>
                <w:szCs w:val="16"/>
              </w:rPr>
            </w:pPr>
            <w:r w:rsidRPr="0075656B">
              <w:rPr>
                <w:rFonts w:ascii="Times New Roman" w:hAnsi="Times New Roman"/>
                <w:sz w:val="16"/>
                <w:szCs w:val="16"/>
              </w:rPr>
              <w:t xml:space="preserve">Компания уведомляет Клиента о праве на получение по его запросу следующей информации (документов), связных с оказанием Компанией </w:t>
            </w:r>
            <w:r w:rsidR="00FD75E3" w:rsidRPr="0075656B">
              <w:rPr>
                <w:rFonts w:ascii="Times New Roman" w:hAnsi="Times New Roman"/>
                <w:sz w:val="16"/>
                <w:szCs w:val="16"/>
              </w:rPr>
              <w:t>услуги по заключению договоров, являющихся производными финансовыми инструментами</w:t>
            </w:r>
            <w:r w:rsidR="009A1D32" w:rsidRPr="0075656B">
              <w:rPr>
                <w:rFonts w:ascii="Times New Roman" w:hAnsi="Times New Roman"/>
                <w:sz w:val="16"/>
                <w:szCs w:val="16"/>
              </w:rPr>
              <w:t xml:space="preserve">: </w:t>
            </w:r>
            <w:r w:rsidRPr="0075656B">
              <w:rPr>
                <w:rFonts w:ascii="Times New Roman" w:hAnsi="Times New Roman"/>
                <w:sz w:val="16"/>
                <w:szCs w:val="16"/>
              </w:rPr>
              <w:t xml:space="preserve">(i) </w:t>
            </w:r>
            <w:r w:rsidR="00FD75E3" w:rsidRPr="0075656B">
              <w:rPr>
                <w:rFonts w:ascii="Times New Roman" w:hAnsi="Times New Roman"/>
                <w:sz w:val="16"/>
                <w:szCs w:val="16"/>
              </w:rPr>
              <w:t>спецификацию договора, являющегося производным финансовым инструментом (в случае если базисным активом производного финансового инструмента является другой производный финансовый инструмент, необходимо также предоставить спецификацию такого договора, являющегося произ</w:t>
            </w:r>
            <w:r w:rsidRPr="0075656B">
              <w:rPr>
                <w:rFonts w:ascii="Times New Roman" w:hAnsi="Times New Roman"/>
                <w:sz w:val="16"/>
                <w:szCs w:val="16"/>
              </w:rPr>
              <w:t>водным финансовым инструментом), (</w:t>
            </w:r>
            <w:proofErr w:type="spellStart"/>
            <w:r w:rsidRPr="0075656B">
              <w:rPr>
                <w:rFonts w:ascii="Times New Roman" w:hAnsi="Times New Roman"/>
                <w:sz w:val="16"/>
                <w:szCs w:val="16"/>
              </w:rPr>
              <w:t>ii</w:t>
            </w:r>
            <w:proofErr w:type="spellEnd"/>
            <w:r w:rsidRPr="0075656B">
              <w:rPr>
                <w:rFonts w:ascii="Times New Roman" w:hAnsi="Times New Roman"/>
                <w:sz w:val="16"/>
                <w:szCs w:val="16"/>
              </w:rPr>
              <w:t xml:space="preserve">) </w:t>
            </w:r>
            <w:r w:rsidR="00FD75E3" w:rsidRPr="0075656B">
              <w:rPr>
                <w:rFonts w:ascii="Times New Roman" w:hAnsi="Times New Roman"/>
                <w:sz w:val="16"/>
                <w:szCs w:val="16"/>
              </w:rPr>
              <w:t>размер суммы денежных средств, которую необходимо уплатить на момент заключения договора, являющегося производным финансовым инструм</w:t>
            </w:r>
            <w:r w:rsidRPr="0075656B">
              <w:rPr>
                <w:rFonts w:ascii="Times New Roman" w:hAnsi="Times New Roman"/>
                <w:sz w:val="16"/>
                <w:szCs w:val="16"/>
              </w:rPr>
              <w:t>ентом, (</w:t>
            </w:r>
            <w:proofErr w:type="spellStart"/>
            <w:r w:rsidRPr="0075656B">
              <w:rPr>
                <w:rFonts w:ascii="Times New Roman" w:hAnsi="Times New Roman"/>
                <w:sz w:val="16"/>
                <w:szCs w:val="16"/>
              </w:rPr>
              <w:t>iii</w:t>
            </w:r>
            <w:proofErr w:type="spellEnd"/>
            <w:r w:rsidRPr="0075656B">
              <w:rPr>
                <w:rFonts w:ascii="Times New Roman" w:hAnsi="Times New Roman"/>
                <w:sz w:val="16"/>
                <w:szCs w:val="16"/>
              </w:rPr>
              <w:t xml:space="preserve">) </w:t>
            </w:r>
            <w:r w:rsidR="00FD75E3" w:rsidRPr="0075656B">
              <w:rPr>
                <w:rFonts w:ascii="Times New Roman" w:hAnsi="Times New Roman"/>
                <w:sz w:val="16"/>
                <w:szCs w:val="16"/>
              </w:rPr>
              <w:t>источник получения сведений о колебании цены (значения) базисного актива за последние шесть месяцев, предшествующих дате заключения договора, являющегося производным финансовым инструментом (в случае наличия у брокера информации о таком источнике).</w:t>
            </w:r>
          </w:p>
          <w:p w14:paraId="5E05895E" w14:textId="00331113" w:rsidR="00014716" w:rsidRPr="0075656B" w:rsidRDefault="00935369" w:rsidP="00747B3A">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 xml:space="preserve">Уведомление о рисках использования </w:t>
            </w:r>
            <w:r w:rsidR="00014716" w:rsidRPr="0075656B">
              <w:rPr>
                <w:rFonts w:ascii="Times New Roman" w:eastAsia="MS Gothic" w:hAnsi="Times New Roman"/>
                <w:b/>
                <w:sz w:val="20"/>
                <w:szCs w:val="20"/>
              </w:rPr>
              <w:t>брокером в своих интересах денежных средств и/или ценных бумаг Клиента</w:t>
            </w:r>
          </w:p>
          <w:p w14:paraId="56D97EDE" w14:textId="7A9A9E29" w:rsidR="00444409" w:rsidRPr="0075656B" w:rsidRDefault="00014716" w:rsidP="00747B3A">
            <w:pPr>
              <w:autoSpaceDE w:val="0"/>
              <w:autoSpaceDN w:val="0"/>
              <w:adjustRightInd w:val="0"/>
              <w:spacing w:before="120" w:after="120" w:line="240" w:lineRule="auto"/>
              <w:ind w:left="34"/>
              <w:mirrorIndents/>
              <w:jc w:val="both"/>
              <w:rPr>
                <w:rFonts w:ascii="Times New Roman" w:hAnsi="Times New Roman"/>
                <w:sz w:val="16"/>
                <w:szCs w:val="16"/>
              </w:rPr>
            </w:pPr>
            <w:r w:rsidRPr="0075656B">
              <w:rPr>
                <w:rFonts w:ascii="Times New Roman" w:hAnsi="Times New Roman"/>
                <w:sz w:val="16"/>
                <w:szCs w:val="16"/>
              </w:rPr>
              <w:lastRenderedPageBreak/>
              <w:t xml:space="preserve">I. </w:t>
            </w:r>
            <w:r w:rsidR="00444409" w:rsidRPr="0075656B">
              <w:rPr>
                <w:rFonts w:ascii="Times New Roman" w:hAnsi="Times New Roman"/>
                <w:sz w:val="16"/>
                <w:szCs w:val="16"/>
              </w:rPr>
              <w:t>Риски, связанные с использованием брокером денежных средств клиента в своих интересах</w:t>
            </w:r>
          </w:p>
          <w:p w14:paraId="5C07BE99" w14:textId="1435C21F" w:rsidR="00BE53B9" w:rsidRPr="0075656B" w:rsidRDefault="003846FA" w:rsidP="00BE53B9">
            <w:pPr>
              <w:autoSpaceDE w:val="0"/>
              <w:autoSpaceDN w:val="0"/>
              <w:adjustRightInd w:val="0"/>
              <w:spacing w:after="0" w:line="240" w:lineRule="auto"/>
              <w:jc w:val="both"/>
              <w:rPr>
                <w:rFonts w:ascii="Times New Roman" w:eastAsiaTheme="minorHAnsi" w:hAnsi="Times New Roman"/>
                <w:sz w:val="16"/>
                <w:szCs w:val="16"/>
              </w:rPr>
            </w:pPr>
            <w:r w:rsidRPr="0075656B">
              <w:rPr>
                <w:rFonts w:ascii="Times New Roman" w:hAnsi="Times New Roman"/>
                <w:sz w:val="16"/>
                <w:szCs w:val="16"/>
              </w:rPr>
              <w:t>Используя ваши денежные средства в своих интересах, брокер гарантирует Клиенту исполнение его поручений за счет указанных денежных средств либо их возврат по требованию Клиента</w:t>
            </w:r>
            <w:r w:rsidR="00DD62A2" w:rsidRPr="0075656B">
              <w:rPr>
                <w:rFonts w:ascii="Times New Roman" w:hAnsi="Times New Roman"/>
                <w:sz w:val="16"/>
                <w:szCs w:val="16"/>
              </w:rPr>
              <w:t xml:space="preserve"> </w:t>
            </w:r>
            <w:r w:rsidR="00BE53B9" w:rsidRPr="0075656B">
              <w:rPr>
                <w:rFonts w:ascii="Times New Roman" w:eastAsiaTheme="minorHAnsi" w:hAnsi="Times New Roman"/>
                <w:sz w:val="16"/>
                <w:szCs w:val="16"/>
              </w:rPr>
              <w:t>не позднее рабочего дня, следующег</w:t>
            </w:r>
            <w:r w:rsidR="00DD62A2" w:rsidRPr="0075656B">
              <w:rPr>
                <w:rFonts w:ascii="Times New Roman" w:eastAsiaTheme="minorHAnsi" w:hAnsi="Times New Roman"/>
                <w:sz w:val="16"/>
                <w:szCs w:val="16"/>
              </w:rPr>
              <w:t>о за днем получения требования К</w:t>
            </w:r>
            <w:r w:rsidR="00BE53B9" w:rsidRPr="0075656B">
              <w:rPr>
                <w:rFonts w:ascii="Times New Roman" w:eastAsiaTheme="minorHAnsi" w:hAnsi="Times New Roman"/>
                <w:sz w:val="16"/>
                <w:szCs w:val="16"/>
              </w:rPr>
              <w:t>лиента о возврате денежных средств.</w:t>
            </w:r>
          </w:p>
          <w:p w14:paraId="69D5FFB1" w14:textId="3E2008C6" w:rsidR="00444409" w:rsidRPr="0075656B" w:rsidRDefault="003846FA" w:rsidP="00747B3A">
            <w:pPr>
              <w:pStyle w:val="a4"/>
              <w:tabs>
                <w:tab w:val="left" w:pos="1134"/>
              </w:tabs>
              <w:spacing w:before="120" w:after="120" w:line="240" w:lineRule="auto"/>
              <w:ind w:left="32"/>
              <w:contextualSpacing w:val="0"/>
              <w:mirrorIndents/>
              <w:jc w:val="both"/>
              <w:rPr>
                <w:rFonts w:ascii="Times New Roman" w:hAnsi="Times New Roman"/>
                <w:sz w:val="16"/>
                <w:szCs w:val="16"/>
              </w:rPr>
            </w:pPr>
            <w:r w:rsidRPr="0075656B">
              <w:rPr>
                <w:rFonts w:ascii="Times New Roman" w:hAnsi="Times New Roman"/>
                <w:sz w:val="16"/>
                <w:szCs w:val="16"/>
              </w:rPr>
              <w:t xml:space="preserve">В то же время, при использовании брокером денежных средств Клиента в собственных интересах у Клиента </w:t>
            </w:r>
            <w:r w:rsidR="00444409" w:rsidRPr="0075656B">
              <w:rPr>
                <w:rFonts w:ascii="Times New Roman" w:hAnsi="Times New Roman"/>
                <w:sz w:val="16"/>
                <w:szCs w:val="16"/>
              </w:rPr>
              <w:t>возникают следующие риски:</w:t>
            </w:r>
          </w:p>
          <w:p w14:paraId="51BF090F" w14:textId="20B08746" w:rsidR="00444409" w:rsidRPr="0075656B" w:rsidRDefault="00444409" w:rsidP="00747B3A">
            <w:pPr>
              <w:autoSpaceDE w:val="0"/>
              <w:autoSpaceDN w:val="0"/>
              <w:adjustRightInd w:val="0"/>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rPr>
              <w:t xml:space="preserve">риск неисполнения поручения и риск несвоевременного исполнения поручения Клиента вследствие недостачи денежных средств Клиента из-за перерасхода денежных средств на операции другого клиента как результат ошибки сотрудников </w:t>
            </w:r>
            <w:r w:rsidR="003846FA" w:rsidRPr="0075656B">
              <w:rPr>
                <w:rFonts w:ascii="Times New Roman" w:hAnsi="Times New Roman"/>
                <w:sz w:val="16"/>
                <w:szCs w:val="16"/>
              </w:rPr>
              <w:t>брокера</w:t>
            </w:r>
            <w:r w:rsidRPr="0075656B">
              <w:rPr>
                <w:rFonts w:ascii="Times New Roman" w:hAnsi="Times New Roman"/>
                <w:sz w:val="16"/>
                <w:szCs w:val="16"/>
              </w:rPr>
              <w:t xml:space="preserve"> либо сбоя программного обеспечения;</w:t>
            </w:r>
          </w:p>
          <w:p w14:paraId="28CB6389" w14:textId="50CCF5AC" w:rsidR="00444409" w:rsidRPr="0075656B" w:rsidRDefault="003846FA" w:rsidP="00747B3A">
            <w:pPr>
              <w:autoSpaceDE w:val="0"/>
              <w:autoSpaceDN w:val="0"/>
              <w:adjustRightInd w:val="0"/>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rPr>
              <w:t>риск неплатежа по с</w:t>
            </w:r>
            <w:r w:rsidR="00444409" w:rsidRPr="0075656B">
              <w:rPr>
                <w:rFonts w:ascii="Times New Roman" w:hAnsi="Times New Roman"/>
                <w:sz w:val="16"/>
                <w:szCs w:val="16"/>
              </w:rPr>
              <w:t>делке, связанный с недостачей денежных средств.</w:t>
            </w:r>
          </w:p>
          <w:p w14:paraId="1B6B7B10" w14:textId="49C6CDA5" w:rsidR="00444409" w:rsidRPr="0075656B" w:rsidRDefault="00444409" w:rsidP="00747B3A">
            <w:pPr>
              <w:tabs>
                <w:tab w:val="num" w:pos="1145"/>
              </w:tabs>
              <w:autoSpaceDE w:val="0"/>
              <w:autoSpaceDN w:val="0"/>
              <w:adjustRightInd w:val="0"/>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rPr>
              <w:t xml:space="preserve">в случае зачисления денежных средств Клиента на собственный банковский счет </w:t>
            </w:r>
            <w:r w:rsidR="00625F05" w:rsidRPr="0075656B">
              <w:rPr>
                <w:rFonts w:ascii="Times New Roman" w:hAnsi="Times New Roman"/>
                <w:sz w:val="16"/>
                <w:szCs w:val="16"/>
              </w:rPr>
              <w:t>брокера</w:t>
            </w:r>
            <w:r w:rsidRPr="0075656B">
              <w:rPr>
                <w:rFonts w:ascii="Times New Roman" w:hAnsi="Times New Roman"/>
                <w:sz w:val="16"/>
                <w:szCs w:val="16"/>
              </w:rPr>
              <w:t xml:space="preserve">, </w:t>
            </w:r>
            <w:r w:rsidR="003846FA" w:rsidRPr="0075656B">
              <w:rPr>
                <w:rFonts w:ascii="Times New Roman" w:hAnsi="Times New Roman"/>
                <w:sz w:val="16"/>
                <w:szCs w:val="16"/>
              </w:rPr>
              <w:t xml:space="preserve">указанные выше </w:t>
            </w:r>
            <w:r w:rsidRPr="0075656B">
              <w:rPr>
                <w:rFonts w:ascii="Times New Roman" w:hAnsi="Times New Roman"/>
                <w:sz w:val="16"/>
                <w:szCs w:val="16"/>
              </w:rPr>
              <w:t xml:space="preserve">риски могут возникнуть как из-за отсутствия на счете </w:t>
            </w:r>
            <w:r w:rsidR="00625F05" w:rsidRPr="0075656B">
              <w:rPr>
                <w:rFonts w:ascii="Times New Roman" w:hAnsi="Times New Roman"/>
                <w:sz w:val="16"/>
                <w:szCs w:val="16"/>
              </w:rPr>
              <w:t>брокера</w:t>
            </w:r>
            <w:r w:rsidRPr="0075656B">
              <w:rPr>
                <w:rFonts w:ascii="Times New Roman" w:hAnsi="Times New Roman"/>
                <w:sz w:val="16"/>
                <w:szCs w:val="16"/>
              </w:rPr>
              <w:t xml:space="preserve"> достаточного количества денежных средств, так и из-за обращения взыскания на имущество </w:t>
            </w:r>
            <w:r w:rsidR="00625F05" w:rsidRPr="0075656B">
              <w:rPr>
                <w:rFonts w:ascii="Times New Roman" w:hAnsi="Times New Roman"/>
                <w:sz w:val="16"/>
                <w:szCs w:val="16"/>
              </w:rPr>
              <w:t>брокера</w:t>
            </w:r>
            <w:r w:rsidRPr="0075656B">
              <w:rPr>
                <w:rFonts w:ascii="Times New Roman" w:hAnsi="Times New Roman"/>
                <w:sz w:val="16"/>
                <w:szCs w:val="16"/>
              </w:rPr>
              <w:t xml:space="preserve"> или невозможности осуществить операцию по банковскому счету </w:t>
            </w:r>
            <w:r w:rsidR="00625F05" w:rsidRPr="0075656B">
              <w:rPr>
                <w:rFonts w:ascii="Times New Roman" w:hAnsi="Times New Roman"/>
                <w:sz w:val="16"/>
                <w:szCs w:val="16"/>
              </w:rPr>
              <w:t>брокера</w:t>
            </w:r>
            <w:r w:rsidRPr="0075656B">
              <w:rPr>
                <w:rFonts w:ascii="Times New Roman" w:hAnsi="Times New Roman"/>
                <w:sz w:val="16"/>
                <w:szCs w:val="16"/>
              </w:rPr>
              <w:t xml:space="preserve"> в виду </w:t>
            </w:r>
            <w:r w:rsidR="00625F05" w:rsidRPr="0075656B">
              <w:rPr>
                <w:rFonts w:ascii="Times New Roman" w:hAnsi="Times New Roman"/>
                <w:sz w:val="16"/>
                <w:szCs w:val="16"/>
              </w:rPr>
              <w:t>приставления</w:t>
            </w:r>
            <w:r w:rsidRPr="0075656B">
              <w:rPr>
                <w:rFonts w:ascii="Times New Roman" w:hAnsi="Times New Roman"/>
                <w:sz w:val="16"/>
                <w:szCs w:val="16"/>
              </w:rPr>
              <w:t xml:space="preserve"> операций по нему в случаях, устано</w:t>
            </w:r>
            <w:r w:rsidR="00625F05" w:rsidRPr="0075656B">
              <w:rPr>
                <w:rFonts w:ascii="Times New Roman" w:hAnsi="Times New Roman"/>
                <w:sz w:val="16"/>
                <w:szCs w:val="16"/>
              </w:rPr>
              <w:t>вленных законодательством.</w:t>
            </w:r>
          </w:p>
          <w:p w14:paraId="2140723E" w14:textId="3D551802" w:rsidR="007004B5" w:rsidRPr="0075656B" w:rsidRDefault="007004B5" w:rsidP="00747B3A">
            <w:pPr>
              <w:tabs>
                <w:tab w:val="num" w:pos="1145"/>
              </w:tabs>
              <w:autoSpaceDE w:val="0"/>
              <w:autoSpaceDN w:val="0"/>
              <w:adjustRightInd w:val="0"/>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rPr>
              <w:t xml:space="preserve">Клиент, предоставивший Компании право использования в своих интересах денежных средств Клиента, вправе в любое время отказать Компании в предоставлении такого права. Отказ от предоставления Компании права использования в своих интересах денежных средств Клиента направляется в виде Заявления об изменении условий </w:t>
            </w:r>
            <w:r w:rsidR="003F4B51" w:rsidRPr="0075656B">
              <w:rPr>
                <w:rFonts w:ascii="Times New Roman" w:hAnsi="Times New Roman"/>
                <w:sz w:val="16"/>
                <w:szCs w:val="16"/>
              </w:rPr>
              <w:t>б</w:t>
            </w:r>
            <w:r w:rsidRPr="0075656B">
              <w:rPr>
                <w:rFonts w:ascii="Times New Roman" w:hAnsi="Times New Roman"/>
                <w:sz w:val="16"/>
                <w:szCs w:val="16"/>
              </w:rPr>
              <w:t>рокерского обслуживания (Приложение № 1</w:t>
            </w:r>
            <w:r w:rsidR="00261522" w:rsidRPr="0075656B">
              <w:rPr>
                <w:rFonts w:ascii="Times New Roman" w:hAnsi="Times New Roman"/>
                <w:sz w:val="16"/>
                <w:szCs w:val="16"/>
              </w:rPr>
              <w:t>.</w:t>
            </w:r>
            <w:r w:rsidRPr="0075656B">
              <w:rPr>
                <w:rFonts w:ascii="Times New Roman" w:hAnsi="Times New Roman"/>
                <w:sz w:val="16"/>
                <w:szCs w:val="16"/>
              </w:rPr>
              <w:t xml:space="preserve">2 к Регламенту </w:t>
            </w:r>
            <w:r w:rsidR="003F4B51" w:rsidRPr="0075656B">
              <w:rPr>
                <w:rFonts w:ascii="Times New Roman" w:hAnsi="Times New Roman"/>
                <w:sz w:val="16"/>
                <w:szCs w:val="16"/>
              </w:rPr>
              <w:t>брокерского обслуживания</w:t>
            </w:r>
            <w:r w:rsidRPr="0075656B">
              <w:rPr>
                <w:rFonts w:ascii="Times New Roman" w:hAnsi="Times New Roman"/>
                <w:sz w:val="16"/>
                <w:szCs w:val="16"/>
              </w:rPr>
              <w:t xml:space="preserve">) </w:t>
            </w:r>
            <w:r w:rsidR="004834BC" w:rsidRPr="0075656B">
              <w:rPr>
                <w:rFonts w:ascii="Times New Roman" w:hAnsi="Times New Roman"/>
                <w:sz w:val="16"/>
                <w:szCs w:val="16"/>
                <w:lang w:val="en-US"/>
              </w:rPr>
              <w:t>c</w:t>
            </w:r>
            <w:r w:rsidR="004834BC" w:rsidRPr="0075656B">
              <w:rPr>
                <w:rFonts w:ascii="Times New Roman" w:hAnsi="Times New Roman"/>
                <w:sz w:val="16"/>
                <w:szCs w:val="16"/>
              </w:rPr>
              <w:t xml:space="preserve"> </w:t>
            </w:r>
            <w:r w:rsidRPr="0075656B">
              <w:rPr>
                <w:rFonts w:ascii="Times New Roman" w:hAnsi="Times New Roman"/>
                <w:sz w:val="16"/>
                <w:szCs w:val="16"/>
              </w:rPr>
              <w:t xml:space="preserve">отметкой об отказе от предоставления Компании соответствующего права. Такое заявление направляется в соответствии с порядком, установленным </w:t>
            </w:r>
            <w:r w:rsidR="00CF280B" w:rsidRPr="0075656B">
              <w:rPr>
                <w:rFonts w:ascii="Times New Roman" w:hAnsi="Times New Roman"/>
                <w:sz w:val="16"/>
                <w:szCs w:val="16"/>
              </w:rPr>
              <w:t>ч</w:t>
            </w:r>
            <w:r w:rsidR="000A273D" w:rsidRPr="0075656B">
              <w:rPr>
                <w:rFonts w:ascii="Times New Roman" w:hAnsi="Times New Roman"/>
                <w:sz w:val="16"/>
                <w:szCs w:val="16"/>
              </w:rPr>
              <w:t>астью</w:t>
            </w:r>
            <w:r w:rsidRPr="0075656B">
              <w:rPr>
                <w:rFonts w:ascii="Times New Roman" w:hAnsi="Times New Roman"/>
                <w:sz w:val="16"/>
                <w:szCs w:val="16"/>
              </w:rPr>
              <w:t xml:space="preserve"> 2 Регламента </w:t>
            </w:r>
            <w:r w:rsidR="003F4B51" w:rsidRPr="0075656B">
              <w:rPr>
                <w:rFonts w:ascii="Times New Roman" w:hAnsi="Times New Roman"/>
                <w:sz w:val="16"/>
                <w:szCs w:val="16"/>
              </w:rPr>
              <w:t>брокерского обслуживания</w:t>
            </w:r>
            <w:r w:rsidRPr="0075656B">
              <w:rPr>
                <w:rFonts w:ascii="Times New Roman" w:hAnsi="Times New Roman"/>
                <w:sz w:val="16"/>
                <w:szCs w:val="16"/>
              </w:rPr>
              <w:t>.</w:t>
            </w:r>
          </w:p>
          <w:p w14:paraId="2907C63E" w14:textId="617EC507" w:rsidR="00320D22" w:rsidRPr="00320D22" w:rsidRDefault="00320D22" w:rsidP="00320D22">
            <w:pPr>
              <w:tabs>
                <w:tab w:val="num" w:pos="1145"/>
              </w:tabs>
              <w:autoSpaceDE w:val="0"/>
              <w:autoSpaceDN w:val="0"/>
              <w:adjustRightInd w:val="0"/>
              <w:spacing w:before="120" w:after="120" w:line="240" w:lineRule="auto"/>
              <w:ind w:left="32"/>
              <w:mirrorIndents/>
              <w:jc w:val="both"/>
              <w:rPr>
                <w:rFonts w:ascii="Times New Roman" w:hAnsi="Times New Roman"/>
                <w:sz w:val="16"/>
                <w:szCs w:val="16"/>
              </w:rPr>
            </w:pPr>
            <w:r w:rsidRPr="00320D22">
              <w:rPr>
                <w:rFonts w:ascii="Times New Roman" w:hAnsi="Times New Roman"/>
                <w:sz w:val="16"/>
                <w:szCs w:val="16"/>
              </w:rPr>
              <w:t xml:space="preserve">Реализуя свое право на отказ от предоставления Компании права использования в своих интересах денежных средств Клиента, Клиенту следует учитывать, что, если иное не установлено соглашением между Компанией и Клиентом, такой отказ влечет невозможность совершения Клиентом сделок и договоров, перечисленных в п. 1.5.7 Регламента </w:t>
            </w:r>
            <w:r>
              <w:rPr>
                <w:rFonts w:ascii="Times New Roman" w:hAnsi="Times New Roman"/>
                <w:sz w:val="16"/>
                <w:szCs w:val="16"/>
              </w:rPr>
              <w:t>брокерского обслуживания</w:t>
            </w:r>
            <w:r w:rsidRPr="00320D22">
              <w:rPr>
                <w:rFonts w:ascii="Times New Roman" w:hAnsi="Times New Roman"/>
                <w:sz w:val="16"/>
                <w:szCs w:val="16"/>
              </w:rPr>
              <w:t>.</w:t>
            </w:r>
          </w:p>
          <w:p w14:paraId="2A5AA698" w14:textId="49B8C3C5" w:rsidR="00320D22" w:rsidRPr="0075656B" w:rsidRDefault="00320D22" w:rsidP="00320D22">
            <w:pPr>
              <w:tabs>
                <w:tab w:val="num" w:pos="1145"/>
              </w:tabs>
              <w:autoSpaceDE w:val="0"/>
              <w:autoSpaceDN w:val="0"/>
              <w:adjustRightInd w:val="0"/>
              <w:spacing w:before="120" w:after="120" w:line="240" w:lineRule="auto"/>
              <w:ind w:left="32"/>
              <w:mirrorIndents/>
              <w:jc w:val="both"/>
              <w:rPr>
                <w:rFonts w:ascii="Times New Roman" w:hAnsi="Times New Roman"/>
                <w:sz w:val="16"/>
                <w:szCs w:val="16"/>
              </w:rPr>
            </w:pPr>
            <w:r w:rsidRPr="00320D22">
              <w:rPr>
                <w:rFonts w:ascii="Times New Roman" w:hAnsi="Times New Roman"/>
                <w:sz w:val="16"/>
                <w:szCs w:val="16"/>
              </w:rPr>
              <w:t xml:space="preserve">В случае, если отказ от предоставления Компании права использования денежных средств Клиента в своих интересах заявляется Клиентом, </w:t>
            </w:r>
            <w:r>
              <w:rPr>
                <w:rFonts w:ascii="Times New Roman" w:hAnsi="Times New Roman"/>
                <w:sz w:val="16"/>
                <w:szCs w:val="16"/>
              </w:rPr>
              <w:t>б</w:t>
            </w:r>
            <w:r w:rsidRPr="00320D22">
              <w:rPr>
                <w:rFonts w:ascii="Times New Roman" w:hAnsi="Times New Roman"/>
                <w:sz w:val="16"/>
                <w:szCs w:val="16"/>
              </w:rPr>
              <w:t xml:space="preserve">рокерское обслуживания которого осуществляется на условиях Единого лимита, такой отказ является отказом Клиента от </w:t>
            </w:r>
            <w:r>
              <w:rPr>
                <w:rFonts w:ascii="Times New Roman" w:hAnsi="Times New Roman"/>
                <w:sz w:val="16"/>
                <w:szCs w:val="16"/>
              </w:rPr>
              <w:t>б</w:t>
            </w:r>
            <w:r w:rsidRPr="00320D22">
              <w:rPr>
                <w:rFonts w:ascii="Times New Roman" w:hAnsi="Times New Roman"/>
                <w:sz w:val="16"/>
                <w:szCs w:val="16"/>
              </w:rPr>
              <w:t xml:space="preserve">рокерского обслуживания на условиях Единого лимита. В этом случае отказ Клиента от оказания ему </w:t>
            </w:r>
            <w:r>
              <w:rPr>
                <w:rFonts w:ascii="Times New Roman" w:hAnsi="Times New Roman"/>
                <w:sz w:val="16"/>
                <w:szCs w:val="16"/>
              </w:rPr>
              <w:t>б</w:t>
            </w:r>
            <w:r w:rsidRPr="00320D22">
              <w:rPr>
                <w:rFonts w:ascii="Times New Roman" w:hAnsi="Times New Roman"/>
                <w:sz w:val="16"/>
                <w:szCs w:val="16"/>
              </w:rPr>
              <w:t xml:space="preserve">рокерского обслуживания на условиях Единого лимита считается заявленным вне зависимости от наличия отдельной отметки о прекращении </w:t>
            </w:r>
            <w:r>
              <w:rPr>
                <w:rFonts w:ascii="Times New Roman" w:hAnsi="Times New Roman"/>
                <w:sz w:val="16"/>
                <w:szCs w:val="16"/>
              </w:rPr>
              <w:t>б</w:t>
            </w:r>
            <w:r w:rsidRPr="00320D22">
              <w:rPr>
                <w:rFonts w:ascii="Times New Roman" w:hAnsi="Times New Roman"/>
                <w:sz w:val="16"/>
                <w:szCs w:val="16"/>
              </w:rPr>
              <w:t xml:space="preserve">рокерского обслуживания на условиях Единого лимита в таком Заявлении об изменении условий </w:t>
            </w:r>
            <w:r>
              <w:rPr>
                <w:rFonts w:ascii="Times New Roman" w:hAnsi="Times New Roman"/>
                <w:sz w:val="16"/>
                <w:szCs w:val="16"/>
              </w:rPr>
              <w:t>б</w:t>
            </w:r>
            <w:r w:rsidRPr="00320D22">
              <w:rPr>
                <w:rFonts w:ascii="Times New Roman" w:hAnsi="Times New Roman"/>
                <w:sz w:val="16"/>
                <w:szCs w:val="16"/>
              </w:rPr>
              <w:t>рокерского обслуживания (Приложение № 1</w:t>
            </w:r>
            <w:r>
              <w:rPr>
                <w:rFonts w:ascii="Times New Roman" w:hAnsi="Times New Roman"/>
                <w:sz w:val="16"/>
                <w:szCs w:val="16"/>
              </w:rPr>
              <w:t>.</w:t>
            </w:r>
            <w:r w:rsidRPr="00320D22">
              <w:rPr>
                <w:rFonts w:ascii="Times New Roman" w:hAnsi="Times New Roman"/>
                <w:sz w:val="16"/>
                <w:szCs w:val="16"/>
              </w:rPr>
              <w:t xml:space="preserve">2 к Регламенту </w:t>
            </w:r>
            <w:r>
              <w:rPr>
                <w:rFonts w:ascii="Times New Roman" w:hAnsi="Times New Roman"/>
                <w:sz w:val="16"/>
                <w:szCs w:val="16"/>
              </w:rPr>
              <w:t>брокерского обслуживания</w:t>
            </w:r>
            <w:r w:rsidRPr="00320D22">
              <w:rPr>
                <w:rFonts w:ascii="Times New Roman" w:hAnsi="Times New Roman"/>
                <w:sz w:val="16"/>
                <w:szCs w:val="16"/>
              </w:rPr>
              <w:t>).</w:t>
            </w:r>
          </w:p>
          <w:p w14:paraId="52792353" w14:textId="0FBC75C8" w:rsidR="00267B40" w:rsidRPr="0075656B" w:rsidRDefault="00444409" w:rsidP="00747B3A">
            <w:pPr>
              <w:autoSpaceDE w:val="0"/>
              <w:autoSpaceDN w:val="0"/>
              <w:adjustRightInd w:val="0"/>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lang w:val="en-US"/>
              </w:rPr>
              <w:t>II</w:t>
            </w:r>
            <w:r w:rsidRPr="0075656B">
              <w:rPr>
                <w:rFonts w:ascii="Times New Roman" w:hAnsi="Times New Roman"/>
                <w:sz w:val="16"/>
                <w:szCs w:val="16"/>
              </w:rPr>
              <w:t xml:space="preserve">. </w:t>
            </w:r>
            <w:r w:rsidR="00267B40" w:rsidRPr="0075656B">
              <w:rPr>
                <w:rFonts w:ascii="Times New Roman" w:hAnsi="Times New Roman"/>
                <w:sz w:val="16"/>
                <w:szCs w:val="16"/>
              </w:rPr>
              <w:t xml:space="preserve">Риски, связанные с использованием </w:t>
            </w:r>
            <w:r w:rsidR="00014716" w:rsidRPr="0075656B">
              <w:rPr>
                <w:rFonts w:ascii="Times New Roman" w:hAnsi="Times New Roman"/>
                <w:sz w:val="16"/>
                <w:szCs w:val="16"/>
              </w:rPr>
              <w:t>брокером</w:t>
            </w:r>
            <w:r w:rsidR="00267B40" w:rsidRPr="0075656B">
              <w:rPr>
                <w:rFonts w:ascii="Times New Roman" w:hAnsi="Times New Roman"/>
                <w:sz w:val="16"/>
                <w:szCs w:val="16"/>
              </w:rPr>
              <w:t xml:space="preserve"> ценных бумаг клиента в своих интересах</w:t>
            </w:r>
          </w:p>
          <w:p w14:paraId="0C4D15FA" w14:textId="77777777" w:rsidR="00267B40" w:rsidRPr="0075656B" w:rsidRDefault="00267B40" w:rsidP="00747B3A">
            <w:pPr>
              <w:tabs>
                <w:tab w:val="left" w:pos="1134"/>
              </w:tabs>
              <w:spacing w:before="120" w:after="120" w:line="240" w:lineRule="auto"/>
              <w:ind w:left="32"/>
              <w:mirrorIndents/>
              <w:jc w:val="both"/>
              <w:rPr>
                <w:rFonts w:ascii="Times New Roman" w:hAnsi="Times New Roman"/>
                <w:sz w:val="16"/>
                <w:szCs w:val="16"/>
              </w:rPr>
            </w:pPr>
            <w:r w:rsidRPr="0075656B">
              <w:rPr>
                <w:rFonts w:ascii="Times New Roman" w:hAnsi="Times New Roman"/>
                <w:sz w:val="16"/>
                <w:szCs w:val="16"/>
              </w:rPr>
              <w:t>Используя ваши ценные бумаги в своих интересах, брокер обязан исполнить требование о возврате ценных бумаг, используемых в его интересах, в сроки, предусмотренные договором.</w:t>
            </w:r>
          </w:p>
          <w:p w14:paraId="0450BDBD"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результате использования брокером ваших бумаг возникают дополнительные условия (1) для реализации риска контрагента и риска неисполнения брокером обязательств перед вами, связанные с неисполнением или ненадлежащим исполнением обязательств по возврату ценных бумаг, переданных контрагенту, (2) для реализации операционного риска, связанного с увеличением количества транзакций с ценными бумагами и как следствие увеличением вероятности ошибок внутренних процедур сотрудников брокера и/или контрагента.</w:t>
            </w:r>
          </w:p>
          <w:p w14:paraId="288BABB1"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случае, если список лиц, имеющих право на получение от эмитента или лица, обязанного по ценным бумагам, денежных средств, а также иного имущества, определяется в период использования этих ценных бумаг в интересах брокера, брокер обязан передать вам суммы денежных средств, а также иное имущество, выплаченное (переданное) эмитентом или лицом, обязанным по ценным бумагам, в том числе в виде дивидендов и процентов по таким ценным бумагам.</w:t>
            </w:r>
          </w:p>
          <w:p w14:paraId="11466957" w14:textId="77777777" w:rsidR="00267B40"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Обратите внимание на то, что в случае составления списка лиц, осуществляющих права по ценным бумагам (имеющих право на участие в общем собрании владельцев ценных бумаг, имеющих преимущественное право приобретения ценных бумаг, и другое) в период использования этих ценных бумаг в интересах брокера, вы можете быть не включены в указанный список. Если осуществление прав по ценным бумагам важно для вас, не предоставляйте брокеру право использования ваших ценных бумаг в его интересах.</w:t>
            </w:r>
          </w:p>
          <w:p w14:paraId="210CB15E" w14:textId="3A15E243" w:rsidR="00B369B8" w:rsidRPr="0075656B" w:rsidRDefault="00267B40"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Ваш брокер является членом НАУФОР, к которой вы можете обратиться в случае нарушения ваших прав и интересов. Государственное регулирование и надзор в отношении деятельности эмитентов, 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w:t>
            </w:r>
          </w:p>
          <w:p w14:paraId="7495FAE1" w14:textId="737E8BC0" w:rsidR="007004B5" w:rsidRPr="0075656B" w:rsidRDefault="007004B5"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Клиент, предоставивший Компании право использования в своих интересах ценных бумаг Клиента, вправе в любое время отказать Компании в предоставлении такого права. Отказ от предоставления Компании права использования в своих интересах ценных бумаг Клиента направляется в виде Заявления об изменении условий </w:t>
            </w:r>
            <w:r w:rsidR="003F4B51" w:rsidRPr="0075656B">
              <w:rPr>
                <w:rFonts w:ascii="Times New Roman" w:hAnsi="Times New Roman"/>
                <w:sz w:val="16"/>
                <w:szCs w:val="16"/>
              </w:rPr>
              <w:t>б</w:t>
            </w:r>
            <w:r w:rsidRPr="0075656B">
              <w:rPr>
                <w:rFonts w:ascii="Times New Roman" w:hAnsi="Times New Roman"/>
                <w:sz w:val="16"/>
                <w:szCs w:val="16"/>
              </w:rPr>
              <w:t>рокерского обслуживания (Приложение № 1</w:t>
            </w:r>
            <w:r w:rsidR="00261522" w:rsidRPr="0075656B">
              <w:rPr>
                <w:rFonts w:ascii="Times New Roman" w:hAnsi="Times New Roman"/>
                <w:sz w:val="16"/>
                <w:szCs w:val="16"/>
              </w:rPr>
              <w:t>.</w:t>
            </w:r>
            <w:r w:rsidRPr="0075656B">
              <w:rPr>
                <w:rFonts w:ascii="Times New Roman" w:hAnsi="Times New Roman"/>
                <w:sz w:val="16"/>
                <w:szCs w:val="16"/>
              </w:rPr>
              <w:t xml:space="preserve">2 к Регламенту </w:t>
            </w:r>
            <w:r w:rsidR="003F4B51" w:rsidRPr="0075656B">
              <w:rPr>
                <w:rFonts w:ascii="Times New Roman" w:hAnsi="Times New Roman"/>
                <w:sz w:val="16"/>
                <w:szCs w:val="16"/>
              </w:rPr>
              <w:t>брокерского обслуживания</w:t>
            </w:r>
            <w:r w:rsidRPr="0075656B">
              <w:rPr>
                <w:rFonts w:ascii="Times New Roman" w:hAnsi="Times New Roman"/>
                <w:sz w:val="16"/>
                <w:szCs w:val="16"/>
              </w:rPr>
              <w:t xml:space="preserve">) с отметкой об отказе от предоставления Компании соответствующего права. Такое заявление направляется в соответствии с порядком, установленным </w:t>
            </w:r>
            <w:r w:rsidR="00CF280B" w:rsidRPr="0075656B">
              <w:rPr>
                <w:rFonts w:ascii="Times New Roman" w:hAnsi="Times New Roman"/>
                <w:sz w:val="16"/>
                <w:szCs w:val="16"/>
              </w:rPr>
              <w:t>ч</w:t>
            </w:r>
            <w:r w:rsidR="000A273D" w:rsidRPr="0075656B">
              <w:rPr>
                <w:rFonts w:ascii="Times New Roman" w:hAnsi="Times New Roman"/>
                <w:sz w:val="16"/>
                <w:szCs w:val="16"/>
              </w:rPr>
              <w:t>астью</w:t>
            </w:r>
            <w:r w:rsidRPr="0075656B">
              <w:rPr>
                <w:rFonts w:ascii="Times New Roman" w:hAnsi="Times New Roman"/>
                <w:sz w:val="16"/>
                <w:szCs w:val="16"/>
              </w:rPr>
              <w:t xml:space="preserve"> 2 Регламента </w:t>
            </w:r>
            <w:r w:rsidR="006E7920" w:rsidRPr="0075656B">
              <w:rPr>
                <w:rFonts w:ascii="Times New Roman" w:hAnsi="Times New Roman"/>
                <w:sz w:val="16"/>
                <w:szCs w:val="16"/>
              </w:rPr>
              <w:t>брокерского обслуживания</w:t>
            </w:r>
            <w:r w:rsidRPr="0075656B">
              <w:rPr>
                <w:rFonts w:ascii="Times New Roman" w:hAnsi="Times New Roman"/>
                <w:sz w:val="16"/>
                <w:szCs w:val="16"/>
              </w:rPr>
              <w:t>.</w:t>
            </w:r>
          </w:p>
          <w:p w14:paraId="62FD8C82" w14:textId="40925021" w:rsidR="005908C4" w:rsidRPr="0075656B" w:rsidRDefault="005908C4" w:rsidP="000F5E38">
            <w:pPr>
              <w:tabs>
                <w:tab w:val="left" w:pos="1134"/>
              </w:tabs>
              <w:spacing w:before="120" w:after="120" w:line="240" w:lineRule="auto"/>
              <w:mirrorIndents/>
              <w:jc w:val="both"/>
              <w:rPr>
                <w:rFonts w:ascii="Times New Roman" w:hAnsi="Times New Roman"/>
                <w:sz w:val="16"/>
                <w:szCs w:val="16"/>
              </w:rPr>
            </w:pPr>
            <w:r w:rsidRPr="005908C4">
              <w:rPr>
                <w:rFonts w:ascii="Times New Roman" w:hAnsi="Times New Roman"/>
                <w:sz w:val="16"/>
                <w:szCs w:val="16"/>
              </w:rPr>
              <w:t>Реализуя свое право на отказ от предоставления Компании права использования в своих интересах ценных бумаг Клиента, Клиенту следует учитывать, что, если иное не установлено соглашением между Компанией и Клиентом, такой отказ влечет невозможность совершения Клиентом сделок и договоров, перечисленных в п. 1.5.7 Регламента осуществления брокерской деятельности.</w:t>
            </w:r>
          </w:p>
          <w:p w14:paraId="01CF202D" w14:textId="0F3F38FB" w:rsidR="00267B40" w:rsidRPr="0075656B" w:rsidRDefault="004834BC" w:rsidP="005908C4">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 xml:space="preserve">Отказ от предоставления Компании права использования в своих интересах денежных средств Клиента является отказом Клиента от предоставления Компании права использования в своих интересах ценных бумаг Клиента. В этом случае отказ Клиента от предоставления Компании права использования в своих интересах ценных бумаг Клиента считается заявленным вне зависимости от наличия отдельной отметки об отказе от предоставления Компании права использования в своих интересах ценных бумаг Клиента в Заявлении об изменении условий </w:t>
            </w:r>
            <w:r w:rsidR="003F4B51" w:rsidRPr="0075656B">
              <w:rPr>
                <w:rFonts w:ascii="Times New Roman" w:hAnsi="Times New Roman"/>
                <w:sz w:val="16"/>
                <w:szCs w:val="16"/>
              </w:rPr>
              <w:t>б</w:t>
            </w:r>
            <w:r w:rsidRPr="0075656B">
              <w:rPr>
                <w:rFonts w:ascii="Times New Roman" w:hAnsi="Times New Roman"/>
                <w:sz w:val="16"/>
                <w:szCs w:val="16"/>
              </w:rPr>
              <w:t>рокерского обслуживания (Приложение № 1</w:t>
            </w:r>
            <w:r w:rsidR="00261522" w:rsidRPr="0075656B">
              <w:rPr>
                <w:rFonts w:ascii="Times New Roman" w:hAnsi="Times New Roman"/>
                <w:sz w:val="16"/>
                <w:szCs w:val="16"/>
              </w:rPr>
              <w:t>.</w:t>
            </w:r>
            <w:r w:rsidRPr="0075656B">
              <w:rPr>
                <w:rFonts w:ascii="Times New Roman" w:hAnsi="Times New Roman"/>
                <w:sz w:val="16"/>
                <w:szCs w:val="16"/>
              </w:rPr>
              <w:t xml:space="preserve">2 к Регламенту </w:t>
            </w:r>
            <w:r w:rsidR="003F4B51" w:rsidRPr="0075656B">
              <w:rPr>
                <w:rFonts w:ascii="Times New Roman" w:hAnsi="Times New Roman"/>
                <w:sz w:val="16"/>
                <w:szCs w:val="16"/>
              </w:rPr>
              <w:t>брокерского обслуживания</w:t>
            </w:r>
            <w:r w:rsidRPr="0075656B">
              <w:rPr>
                <w:rFonts w:ascii="Times New Roman" w:hAnsi="Times New Roman"/>
                <w:sz w:val="16"/>
                <w:szCs w:val="16"/>
              </w:rPr>
              <w:t>).</w:t>
            </w:r>
          </w:p>
          <w:p w14:paraId="3807DC44" w14:textId="41C990F0" w:rsidR="00682F19" w:rsidRPr="0075656B" w:rsidRDefault="00682F19" w:rsidP="00907ADF">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Уведомление о запрете на осуществлении действий, относящихся к манипулированию рынком, и ограничениях на использование инсайдерской информации и/манипулирование рынком</w:t>
            </w:r>
          </w:p>
          <w:p w14:paraId="04FBEB8C" w14:textId="2F33E49E" w:rsidR="00D8167E" w:rsidRPr="0075656B" w:rsidRDefault="00D8167E" w:rsidP="00D8167E">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lastRenderedPageBreak/>
              <w:t>Компания уведомляет Клиента, что в соответствии с положениями Федерального закона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от 27.07.2010 № 224-ФЗ (далее по тексту настоящего раздела – Закон):</w:t>
            </w:r>
          </w:p>
          <w:p w14:paraId="4F881461" w14:textId="77777777" w:rsidR="00D8167E" w:rsidRPr="0075656B" w:rsidRDefault="00D8167E" w:rsidP="00907ADF">
            <w:pPr>
              <w:tabs>
                <w:tab w:val="left" w:pos="322"/>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1.</w:t>
            </w:r>
            <w:r w:rsidRPr="0075656B">
              <w:rPr>
                <w:rFonts w:ascii="Times New Roman" w:hAnsi="Times New Roman"/>
                <w:sz w:val="16"/>
                <w:szCs w:val="16"/>
              </w:rPr>
              <w:tab/>
              <w:t>запрещается использование инсайдерской информации:</w:t>
            </w:r>
          </w:p>
          <w:p w14:paraId="3282A1C2" w14:textId="3699EA07"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для осуществления операций с финансовыми инструментами, иностранной валютой и (или) товарами, которых касается инсайдерская информация, за свой счет или за счет третьего лица, за исключением совершения операций в рамках исполнения обязательства по покупке или продаже финансовых инструментов, иностранной валюты и (или) товаров, срок исполнения которого наступил, если такое обязательство возникло в результате операции, совершенной до того, как лицу стала известна инсайдерская информация;</w:t>
            </w:r>
          </w:p>
          <w:p w14:paraId="5884651E" w14:textId="54FEDCB8"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путем передачи ее другому лицу, за исключением случаев передачи этой информации лицу, включенному в список инсайдеров, в связи с исполнением обязанностей, установленных федеральными законами, либо в связи с исполнением трудовых обязанностей или исполнением договора;</w:t>
            </w:r>
          </w:p>
          <w:p w14:paraId="6A282156" w14:textId="0A6CFC0E"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путем дачи рекомендаций третьим лицам, обязывания или побуждения их иным образом к приобретению или продаже финансовых инструментов, иностранной валюты и (или) товаров.</w:t>
            </w:r>
          </w:p>
          <w:p w14:paraId="2093E099" w14:textId="77777777" w:rsidR="00D8167E" w:rsidRPr="0075656B" w:rsidRDefault="00D8167E" w:rsidP="00907ADF">
            <w:pPr>
              <w:tabs>
                <w:tab w:val="left" w:pos="322"/>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2.</w:t>
            </w:r>
            <w:r w:rsidRPr="0075656B">
              <w:rPr>
                <w:rFonts w:ascii="Times New Roman" w:hAnsi="Times New Roman"/>
                <w:sz w:val="16"/>
                <w:szCs w:val="16"/>
              </w:rPr>
              <w:tab/>
              <w:t>запрещается осуществлять действия, относящиеся в соответствии с Законом к манипулированию рынком.</w:t>
            </w:r>
          </w:p>
          <w:p w14:paraId="641C06D3" w14:textId="74D64FEC" w:rsidR="00D8167E" w:rsidRPr="0075656B" w:rsidRDefault="00D8167E" w:rsidP="00D8167E">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В целях соблюдения установленных законодательством требований, направленных на противодействие манипулированию рынком и неправомерному использованию инсайдерской информации Клиент уведомляется:</w:t>
            </w:r>
          </w:p>
          <w:p w14:paraId="223EC42A" w14:textId="2E63D8AC"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о недопустимости подачи поручений</w:t>
            </w:r>
            <w:r w:rsidR="00667657" w:rsidRPr="0075656B">
              <w:rPr>
                <w:rFonts w:ascii="Times New Roman" w:eastAsia="MS Gothic" w:hAnsi="Times New Roman"/>
                <w:sz w:val="16"/>
                <w:szCs w:val="16"/>
              </w:rPr>
              <w:t xml:space="preserve"> на совершение с</w:t>
            </w:r>
            <w:r w:rsidRPr="0075656B">
              <w:rPr>
                <w:rFonts w:ascii="Times New Roman" w:eastAsia="MS Gothic" w:hAnsi="Times New Roman"/>
                <w:sz w:val="16"/>
                <w:szCs w:val="16"/>
              </w:rPr>
              <w:t>делок, которые могут содержать признаки действий, относимых законодательством к манипулированию рынком, а также поручений с использованием инсайдерской информации;</w:t>
            </w:r>
          </w:p>
          <w:p w14:paraId="5CF84E3B" w14:textId="77777777"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о необходимости уведомлять Компанию о получении доступа к инсайдерской информации (и/или непосредственно инсайдерской информации), о возникновении обстоятельств, в результате которых Клиент должен быть включен или исключен из списка инсайдеров Компании, а также о фактическом включении или исключении из списка инсайдеров третьих лиц;</w:t>
            </w:r>
          </w:p>
          <w:p w14:paraId="3CDE1882" w14:textId="77777777"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о необходимости обеспечивать наличие в сведениях и документах, передаваемых Компании, прямого указания на то, что данные сведения или документы являются инсайдерскими или содержат инсайдерскую информацию;</w:t>
            </w:r>
          </w:p>
          <w:p w14:paraId="2F5EFC5C" w14:textId="77777777" w:rsidR="00D8167E" w:rsidRPr="0075656B" w:rsidRDefault="00D8167E" w:rsidP="00907ADF">
            <w:pPr>
              <w:numPr>
                <w:ilvl w:val="0"/>
                <w:numId w:val="7"/>
              </w:numPr>
              <w:tabs>
                <w:tab w:val="clear" w:pos="720"/>
                <w:tab w:val="num" w:pos="318"/>
              </w:tabs>
              <w:spacing w:before="120" w:after="120" w:line="240" w:lineRule="auto"/>
              <w:ind w:left="318" w:hanging="318"/>
              <w:mirrorIndents/>
              <w:jc w:val="both"/>
              <w:rPr>
                <w:rFonts w:ascii="Times New Roman" w:eastAsia="MS Gothic" w:hAnsi="Times New Roman"/>
                <w:sz w:val="16"/>
                <w:szCs w:val="16"/>
              </w:rPr>
            </w:pPr>
            <w:r w:rsidRPr="0075656B">
              <w:rPr>
                <w:rFonts w:ascii="Times New Roman" w:eastAsia="MS Gothic" w:hAnsi="Times New Roman"/>
                <w:sz w:val="16"/>
                <w:szCs w:val="16"/>
              </w:rPr>
              <w:t>о личной ответственности Клиента, в том числе административной и уголовной, за совершенную Компанией операцию в интересах Клиента, сопровождающуюся неправомерным использованием инсайдерской информации и (или) являющуюся манипулированием рынком, если указанная операция совершена по поручению (распоряжению) Клиента.</w:t>
            </w:r>
          </w:p>
          <w:p w14:paraId="4CF5EB48" w14:textId="477C0F7B" w:rsidR="00682F19" w:rsidRPr="0075656B" w:rsidRDefault="00D8167E" w:rsidP="00D8167E">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Компания вправе по своему усмотрению проводить проверку любой сделки или операции Клиента, в отношении которой у Компании есть основания полагать, что данная сделка или операция направлена на манипулирование рынком или совершена с использованием инсайдерской информации. В целях недопущения и выявления сделок и операций, направленных на манипулирование рынком или использование инсайдерской информации, в том числе при проведении указанной проверки, Компания вправе запросить у Клиента, а Клиент обязан предоставить в течение 5 рабочих дней письменные разъяснения, документы и любые другие сведения, запрашиваемые Компанией. Компания вправе направить информацию о факте проведения и результатах такой проверки организатору торговли, в Банк России или иной уполномоченный орган государственной власти.</w:t>
            </w:r>
          </w:p>
          <w:p w14:paraId="19D6955F" w14:textId="0DB38BB3" w:rsidR="00667657" w:rsidRPr="0075656B" w:rsidRDefault="007823FB" w:rsidP="00907ADF">
            <w:pPr>
              <w:pStyle w:val="a4"/>
              <w:numPr>
                <w:ilvl w:val="0"/>
                <w:numId w:val="24"/>
              </w:numPr>
              <w:autoSpaceDE w:val="0"/>
              <w:autoSpaceDN w:val="0"/>
              <w:adjustRightInd w:val="0"/>
              <w:spacing w:before="120" w:after="120" w:line="240" w:lineRule="auto"/>
              <w:contextualSpacing w:val="0"/>
              <w:mirrorIndents/>
              <w:jc w:val="both"/>
              <w:rPr>
                <w:rFonts w:ascii="Times New Roman" w:eastAsia="MS Gothic" w:hAnsi="Times New Roman"/>
                <w:b/>
                <w:sz w:val="20"/>
                <w:szCs w:val="20"/>
              </w:rPr>
            </w:pPr>
            <w:r w:rsidRPr="0075656B">
              <w:rPr>
                <w:rFonts w:ascii="Times New Roman" w:eastAsia="MS Gothic" w:hAnsi="Times New Roman"/>
                <w:b/>
                <w:sz w:val="20"/>
                <w:szCs w:val="20"/>
              </w:rPr>
              <w:t>Уведомление физического лица – получателя финансовых услуг о наличии информационных документов</w:t>
            </w:r>
          </w:p>
          <w:p w14:paraId="3C03020F" w14:textId="0215F38D" w:rsidR="007823FB" w:rsidRPr="0075656B" w:rsidRDefault="007823FB" w:rsidP="00D8167E">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Компания уведомляет Клиента-физического лица, что на странице Компании в</w:t>
            </w:r>
            <w:r w:rsidR="00DF60CB" w:rsidRPr="0075656B">
              <w:rPr>
                <w:rFonts w:ascii="Times New Roman" w:hAnsi="Times New Roman"/>
                <w:sz w:val="16"/>
                <w:szCs w:val="16"/>
              </w:rPr>
              <w:t xml:space="preserve"> информац</w:t>
            </w:r>
            <w:r w:rsidR="006E7920" w:rsidRPr="0075656B">
              <w:rPr>
                <w:rFonts w:ascii="Times New Roman" w:hAnsi="Times New Roman"/>
                <w:sz w:val="16"/>
                <w:szCs w:val="16"/>
              </w:rPr>
              <w:t>ионно-</w:t>
            </w:r>
            <w:r w:rsidR="00A119E0" w:rsidRPr="0075656B">
              <w:rPr>
                <w:rFonts w:ascii="Times New Roman" w:hAnsi="Times New Roman"/>
                <w:sz w:val="16"/>
                <w:szCs w:val="16"/>
              </w:rPr>
              <w:t>теле</w:t>
            </w:r>
            <w:r w:rsidR="006E7920" w:rsidRPr="0075656B">
              <w:rPr>
                <w:rFonts w:ascii="Times New Roman" w:hAnsi="Times New Roman"/>
                <w:sz w:val="16"/>
                <w:szCs w:val="16"/>
              </w:rPr>
              <w:t>коммуникационной</w:t>
            </w:r>
            <w:r w:rsidRPr="0075656B">
              <w:rPr>
                <w:rFonts w:ascii="Times New Roman" w:hAnsi="Times New Roman"/>
                <w:sz w:val="16"/>
                <w:szCs w:val="16"/>
              </w:rPr>
              <w:t xml:space="preserve"> сети «Интернет»</w:t>
            </w:r>
            <w:r w:rsidR="006E7920" w:rsidRPr="0075656B">
              <w:rPr>
                <w:rFonts w:ascii="Times New Roman" w:hAnsi="Times New Roman"/>
                <w:sz w:val="16"/>
                <w:szCs w:val="16"/>
              </w:rPr>
              <w:t>, расположенной</w:t>
            </w:r>
            <w:r w:rsidRPr="0075656B">
              <w:rPr>
                <w:rFonts w:ascii="Times New Roman" w:hAnsi="Times New Roman"/>
                <w:sz w:val="16"/>
                <w:szCs w:val="16"/>
              </w:rPr>
              <w:t xml:space="preserve"> по адресу </w:t>
            </w:r>
            <w:r w:rsidR="00631A8F" w:rsidRPr="00631A8F">
              <w:rPr>
                <w:rFonts w:ascii="Times New Roman" w:hAnsi="Times New Roman"/>
                <w:sz w:val="16"/>
                <w:szCs w:val="16"/>
              </w:rPr>
              <w:t>https://www. ikhorizon.ru/</w:t>
            </w:r>
            <w:r w:rsidR="003A0B0D" w:rsidRPr="0075656B">
              <w:rPr>
                <w:rFonts w:ascii="Times New Roman" w:hAnsi="Times New Roman"/>
                <w:sz w:val="16"/>
                <w:szCs w:val="16"/>
              </w:rPr>
              <w:t xml:space="preserve"> </w:t>
            </w:r>
            <w:r w:rsidRPr="0075656B">
              <w:rPr>
                <w:rFonts w:ascii="Times New Roman" w:hAnsi="Times New Roman"/>
                <w:sz w:val="16"/>
                <w:szCs w:val="16"/>
              </w:rPr>
              <w:t>размещены информационные документы в отношении обыкновенных акций российских акционерных обществ, привилегированных акций российских акционерных обществах и фьючерсных договоров (контрактов)</w:t>
            </w:r>
            <w:r w:rsidR="001F08A2" w:rsidRPr="0075656B">
              <w:rPr>
                <w:rFonts w:ascii="Times New Roman" w:hAnsi="Times New Roman"/>
                <w:sz w:val="16"/>
                <w:szCs w:val="16"/>
              </w:rPr>
              <w:t>, обыкновенных облигаций российских эмитентов (под обыкновенной облигацией понимается облигация, не являющаяся структурной облигацией, облигацией со структурным доходом, субординированной облигацией, облигацией без срока погашения, конвертируемой облигацией, коммерческой облигацией, облигацией федерального займа для физических лиц (ОФЗ-н), замещающей облигацией (облигацией, предусмотренной ст. 6 Федерального закона от 14.07.2022 № 319-ФЗ «О внесении изменений в отдельные законодательные акты Российской Федерации»), облигацией с залоговым обеспечением денежными требованиями), облигаций федерального займа для физических лиц (ОФЗ-н), иностранных депозитарных расписок на акции</w:t>
            </w:r>
            <w:r w:rsidR="00885F3B" w:rsidRPr="00885F3B">
              <w:rPr>
                <w:rFonts w:ascii="Times New Roman" w:hAnsi="Times New Roman"/>
                <w:sz w:val="16"/>
                <w:szCs w:val="16"/>
              </w:rPr>
              <w:t>, субординированных облигаций российских эмитентов, структурных облигаций российских эмитентов, облигаций российских эмитентов со структурным доходом, опционных договоров, инвестиционных паев паевых инвестиционных фондов (кроме биржевых паевых инвестиционных фондов), инвестиционных паев российских биржевых паевых инвестиционных фондов, акций (паев) ETF</w:t>
            </w:r>
            <w:r w:rsidRPr="0075656B">
              <w:rPr>
                <w:rFonts w:ascii="Times New Roman" w:hAnsi="Times New Roman"/>
                <w:sz w:val="16"/>
                <w:szCs w:val="16"/>
              </w:rPr>
              <w:t>.</w:t>
            </w:r>
          </w:p>
          <w:p w14:paraId="4E55FE44" w14:textId="78DEAD72" w:rsidR="007823FB" w:rsidRPr="0075656B" w:rsidRDefault="007823FB" w:rsidP="00D8167E">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Компания рекомендует ознакомиться с указанными информационными документами до начала подачи поручений.</w:t>
            </w:r>
          </w:p>
          <w:p w14:paraId="3A7C4B6B" w14:textId="77777777" w:rsidR="00DB31DD" w:rsidRPr="0075656B" w:rsidRDefault="00DB31DD" w:rsidP="00985EDB">
            <w:pPr>
              <w:autoSpaceDE w:val="0"/>
              <w:autoSpaceDN w:val="0"/>
              <w:adjustRightInd w:val="0"/>
              <w:spacing w:before="120" w:after="120" w:line="240" w:lineRule="auto"/>
              <w:mirrorIndents/>
              <w:jc w:val="both"/>
              <w:rPr>
                <w:rFonts w:ascii="Times New Roman" w:eastAsia="MS Gothic" w:hAnsi="Times New Roman"/>
                <w:b/>
                <w:sz w:val="20"/>
                <w:szCs w:val="20"/>
              </w:rPr>
            </w:pPr>
          </w:p>
          <w:p w14:paraId="7EFD2DB3" w14:textId="3EF9A873" w:rsidR="0099572F" w:rsidRPr="0075656B" w:rsidRDefault="00625F05" w:rsidP="00747B3A">
            <w:pPr>
              <w:tabs>
                <w:tab w:val="left" w:pos="1134"/>
              </w:tabs>
              <w:spacing w:before="120" w:after="120" w:line="240" w:lineRule="auto"/>
              <w:mirrorIndents/>
              <w:jc w:val="both"/>
              <w:rPr>
                <w:rFonts w:ascii="Times New Roman" w:hAnsi="Times New Roman"/>
                <w:sz w:val="16"/>
                <w:szCs w:val="16"/>
              </w:rPr>
            </w:pPr>
            <w:r w:rsidRPr="0075656B">
              <w:rPr>
                <w:rFonts w:ascii="Times New Roman" w:hAnsi="Times New Roman"/>
                <w:sz w:val="16"/>
                <w:szCs w:val="16"/>
              </w:rPr>
              <w:t>Подписанием настоящего Заявления подтверждаю</w:t>
            </w:r>
            <w:r w:rsidR="0099572F" w:rsidRPr="0075656B">
              <w:rPr>
                <w:rFonts w:ascii="Times New Roman" w:hAnsi="Times New Roman"/>
                <w:sz w:val="16"/>
                <w:szCs w:val="16"/>
              </w:rPr>
              <w:t xml:space="preserve">, что до присоединения к Договору о брокерском обслуживании полностью ознакомился с текстом Регламента </w:t>
            </w:r>
            <w:r w:rsidR="006D02DE" w:rsidRPr="0075656B">
              <w:rPr>
                <w:rFonts w:ascii="Times New Roman" w:eastAsia="MS Gothic" w:hAnsi="Times New Roman"/>
                <w:sz w:val="16"/>
                <w:szCs w:val="16"/>
              </w:rPr>
              <w:t>брокерского обслуживания</w:t>
            </w:r>
            <w:r w:rsidR="009D108D" w:rsidRPr="0075656B">
              <w:rPr>
                <w:rFonts w:ascii="Times New Roman" w:eastAsia="MS Gothic" w:hAnsi="Times New Roman"/>
                <w:sz w:val="16"/>
                <w:szCs w:val="16"/>
              </w:rPr>
              <w:t>, включающего все</w:t>
            </w:r>
            <w:r w:rsidR="00F52A18" w:rsidRPr="0075656B">
              <w:rPr>
                <w:rFonts w:ascii="Times New Roman" w:eastAsia="MS Gothic" w:hAnsi="Times New Roman"/>
                <w:sz w:val="16"/>
                <w:szCs w:val="16"/>
              </w:rPr>
              <w:t xml:space="preserve"> приложения</w:t>
            </w:r>
            <w:r w:rsidRPr="0075656B">
              <w:rPr>
                <w:rFonts w:ascii="Times New Roman" w:hAnsi="Times New Roman"/>
                <w:sz w:val="16"/>
                <w:szCs w:val="16"/>
              </w:rPr>
              <w:t>, а равно подтверждаю</w:t>
            </w:r>
            <w:r w:rsidR="0099572F" w:rsidRPr="0075656B">
              <w:rPr>
                <w:rFonts w:ascii="Times New Roman" w:hAnsi="Times New Roman"/>
                <w:sz w:val="16"/>
                <w:szCs w:val="16"/>
              </w:rPr>
              <w:t>, что:</w:t>
            </w:r>
          </w:p>
          <w:p w14:paraId="51CF21F7" w14:textId="66C69B76" w:rsidR="0099572F" w:rsidRPr="0075656B" w:rsidRDefault="0099572F"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 xml:space="preserve">предусмотренные Регламентом </w:t>
            </w:r>
            <w:r w:rsidR="006D02DE" w:rsidRPr="0075656B">
              <w:rPr>
                <w:rFonts w:ascii="Times New Roman" w:eastAsia="MS Gothic" w:hAnsi="Times New Roman"/>
                <w:sz w:val="16"/>
                <w:szCs w:val="16"/>
              </w:rPr>
              <w:t>брокерского обслуживания</w:t>
            </w:r>
            <w:r w:rsidRPr="0075656B">
              <w:rPr>
                <w:rFonts w:ascii="Times New Roman" w:hAnsi="Times New Roman"/>
                <w:sz w:val="16"/>
                <w:szCs w:val="16"/>
              </w:rPr>
              <w:t xml:space="preserve"> Договором о брокерском обслуживании права и обязанности Сторон мне полностью известны</w:t>
            </w:r>
            <w:r w:rsidR="007C2053" w:rsidRPr="0075656B">
              <w:rPr>
                <w:rFonts w:ascii="Times New Roman" w:hAnsi="Times New Roman"/>
                <w:sz w:val="16"/>
                <w:szCs w:val="16"/>
              </w:rPr>
              <w:t xml:space="preserve"> и понятны</w:t>
            </w:r>
            <w:r w:rsidRPr="0075656B">
              <w:rPr>
                <w:rFonts w:ascii="Times New Roman" w:hAnsi="Times New Roman"/>
                <w:sz w:val="16"/>
                <w:szCs w:val="16"/>
              </w:rPr>
              <w:t>;</w:t>
            </w:r>
          </w:p>
          <w:p w14:paraId="1256D6FA" w14:textId="7976F6C1" w:rsidR="0099572F" w:rsidRPr="0075656B" w:rsidRDefault="0099572F"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 xml:space="preserve">я согласен (согласна) с тем, что </w:t>
            </w:r>
            <w:r w:rsidR="006D02DE" w:rsidRPr="0075656B">
              <w:rPr>
                <w:rFonts w:ascii="Times New Roman" w:hAnsi="Times New Roman"/>
                <w:sz w:val="16"/>
                <w:szCs w:val="16"/>
              </w:rPr>
              <w:t>б</w:t>
            </w:r>
            <w:r w:rsidRPr="0075656B">
              <w:rPr>
                <w:rFonts w:ascii="Times New Roman" w:hAnsi="Times New Roman"/>
                <w:sz w:val="16"/>
                <w:szCs w:val="16"/>
              </w:rPr>
              <w:t>рокерское обслуживание будет осуществляться в порядке, установленном Регламентом</w:t>
            </w:r>
            <w:r w:rsidR="00E75880" w:rsidRPr="0075656B">
              <w:rPr>
                <w:rFonts w:ascii="Times New Roman" w:hAnsi="Times New Roman"/>
                <w:sz w:val="16"/>
                <w:szCs w:val="16"/>
              </w:rPr>
              <w:t xml:space="preserve"> </w:t>
            </w:r>
            <w:r w:rsidR="006D02DE" w:rsidRPr="0075656B">
              <w:rPr>
                <w:rFonts w:ascii="Times New Roman" w:eastAsia="MS Gothic" w:hAnsi="Times New Roman"/>
                <w:sz w:val="16"/>
                <w:szCs w:val="16"/>
              </w:rPr>
              <w:t>брокерского обслуживания</w:t>
            </w:r>
            <w:r w:rsidR="00A32FA7" w:rsidRPr="0075656B">
              <w:rPr>
                <w:rFonts w:ascii="Times New Roman" w:hAnsi="Times New Roman"/>
                <w:sz w:val="16"/>
                <w:szCs w:val="16"/>
              </w:rPr>
              <w:t>;</w:t>
            </w:r>
          </w:p>
          <w:p w14:paraId="2881EAEC" w14:textId="6AFCBE3A" w:rsidR="0099572F" w:rsidRPr="0075656B" w:rsidRDefault="0099572F"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 xml:space="preserve">я ознакомился (ознакомилась) с </w:t>
            </w:r>
            <w:r w:rsidR="00CF280B" w:rsidRPr="0075656B">
              <w:rPr>
                <w:rFonts w:ascii="Times New Roman" w:hAnsi="Times New Roman"/>
                <w:sz w:val="16"/>
                <w:szCs w:val="16"/>
              </w:rPr>
              <w:t>ч</w:t>
            </w:r>
            <w:r w:rsidRPr="0075656B">
              <w:rPr>
                <w:rFonts w:ascii="Times New Roman" w:hAnsi="Times New Roman"/>
                <w:sz w:val="16"/>
                <w:szCs w:val="16"/>
              </w:rPr>
              <w:t xml:space="preserve">астью 7 Регламента </w:t>
            </w:r>
            <w:r w:rsidR="006D02DE" w:rsidRPr="0075656B">
              <w:rPr>
                <w:rFonts w:ascii="Times New Roman" w:eastAsia="MS Gothic" w:hAnsi="Times New Roman"/>
                <w:sz w:val="16"/>
                <w:szCs w:val="16"/>
              </w:rPr>
              <w:t>брокерского обслуживания</w:t>
            </w:r>
            <w:r w:rsidR="00F744AF" w:rsidRPr="0075656B">
              <w:rPr>
                <w:rFonts w:ascii="Times New Roman" w:eastAsia="MS Gothic" w:hAnsi="Times New Roman"/>
                <w:sz w:val="16"/>
                <w:szCs w:val="16"/>
              </w:rPr>
              <w:t xml:space="preserve"> </w:t>
            </w:r>
            <w:r w:rsidRPr="0075656B">
              <w:rPr>
                <w:rFonts w:ascii="Times New Roman" w:hAnsi="Times New Roman"/>
                <w:sz w:val="16"/>
                <w:szCs w:val="16"/>
              </w:rPr>
              <w:t>«Уведомления», а именно с:</w:t>
            </w:r>
          </w:p>
          <w:p w14:paraId="1B1E18C2" w14:textId="02B9C3D7" w:rsidR="00B52C7C" w:rsidRPr="0075656B" w:rsidRDefault="00B52C7C" w:rsidP="00747B3A">
            <w:pPr>
              <w:numPr>
                <w:ilvl w:val="1"/>
                <w:numId w:val="7"/>
              </w:numPr>
              <w:tabs>
                <w:tab w:val="num" w:pos="601"/>
              </w:tabs>
              <w:spacing w:before="120" w:after="120" w:line="240" w:lineRule="auto"/>
              <w:ind w:left="601" w:hanging="318"/>
              <w:mirrorIndents/>
              <w:jc w:val="both"/>
              <w:rPr>
                <w:rFonts w:ascii="Times New Roman" w:hAnsi="Times New Roman"/>
                <w:sz w:val="16"/>
                <w:szCs w:val="16"/>
              </w:rPr>
            </w:pPr>
            <w:r w:rsidRPr="0075656B">
              <w:rPr>
                <w:rFonts w:ascii="Times New Roman" w:hAnsi="Times New Roman"/>
                <w:sz w:val="16"/>
                <w:szCs w:val="16"/>
              </w:rPr>
              <w:t xml:space="preserve">Уведомлением о правах и гарантиях Клиента, изложенным в </w:t>
            </w:r>
            <w:r w:rsidR="00CF280B" w:rsidRPr="0075656B">
              <w:rPr>
                <w:rFonts w:ascii="Times New Roman" w:hAnsi="Times New Roman"/>
                <w:sz w:val="16"/>
                <w:szCs w:val="16"/>
              </w:rPr>
              <w:t>р</w:t>
            </w:r>
            <w:r w:rsidRPr="0075656B">
              <w:rPr>
                <w:rFonts w:ascii="Times New Roman" w:hAnsi="Times New Roman"/>
                <w:sz w:val="16"/>
                <w:szCs w:val="16"/>
              </w:rPr>
              <w:t xml:space="preserve">азделе 7.1. Регламента </w:t>
            </w:r>
            <w:r w:rsidR="006D02DE" w:rsidRPr="0075656B">
              <w:rPr>
                <w:rFonts w:ascii="Times New Roman" w:eastAsia="MS Gothic" w:hAnsi="Times New Roman"/>
                <w:sz w:val="16"/>
                <w:szCs w:val="16"/>
              </w:rPr>
              <w:t>брокерского обслуживания</w:t>
            </w:r>
            <w:r w:rsidRPr="0075656B">
              <w:rPr>
                <w:rFonts w:ascii="Times New Roman" w:hAnsi="Times New Roman"/>
                <w:sz w:val="16"/>
                <w:szCs w:val="16"/>
              </w:rPr>
              <w:t>;</w:t>
            </w:r>
          </w:p>
          <w:p w14:paraId="2ED926F7" w14:textId="1D750D8B" w:rsidR="00F06D5A" w:rsidRPr="0075656B" w:rsidRDefault="00BB652D" w:rsidP="00BB652D">
            <w:pPr>
              <w:numPr>
                <w:ilvl w:val="1"/>
                <w:numId w:val="7"/>
              </w:numPr>
              <w:tabs>
                <w:tab w:val="num" w:pos="601"/>
              </w:tabs>
              <w:spacing w:before="120" w:after="120" w:line="240" w:lineRule="auto"/>
              <w:ind w:left="601" w:hanging="318"/>
              <w:mirrorIndents/>
              <w:jc w:val="both"/>
              <w:rPr>
                <w:rFonts w:ascii="Times New Roman" w:hAnsi="Times New Roman"/>
                <w:sz w:val="16"/>
                <w:szCs w:val="16"/>
              </w:rPr>
            </w:pPr>
            <w:r w:rsidRPr="0075656B">
              <w:rPr>
                <w:rFonts w:ascii="Times New Roman" w:hAnsi="Times New Roman"/>
                <w:sz w:val="16"/>
                <w:szCs w:val="16"/>
              </w:rPr>
              <w:t>Информацией</w:t>
            </w:r>
            <w:r w:rsidR="0099572F" w:rsidRPr="0075656B">
              <w:rPr>
                <w:rFonts w:ascii="Times New Roman" w:hAnsi="Times New Roman"/>
                <w:sz w:val="16"/>
                <w:szCs w:val="16"/>
              </w:rPr>
              <w:t>, изложенно</w:t>
            </w:r>
            <w:r w:rsidR="00B52C7C" w:rsidRPr="0075656B">
              <w:rPr>
                <w:rFonts w:ascii="Times New Roman" w:hAnsi="Times New Roman"/>
                <w:sz w:val="16"/>
                <w:szCs w:val="16"/>
              </w:rPr>
              <w:t>й</w:t>
            </w:r>
            <w:r w:rsidR="0099572F" w:rsidRPr="0075656B">
              <w:rPr>
                <w:rFonts w:ascii="Times New Roman" w:hAnsi="Times New Roman"/>
                <w:sz w:val="16"/>
                <w:szCs w:val="16"/>
              </w:rPr>
              <w:t xml:space="preserve"> в </w:t>
            </w:r>
            <w:r w:rsidR="00CF280B" w:rsidRPr="0075656B">
              <w:rPr>
                <w:rFonts w:ascii="Times New Roman" w:hAnsi="Times New Roman"/>
                <w:sz w:val="16"/>
                <w:szCs w:val="16"/>
              </w:rPr>
              <w:t>р</w:t>
            </w:r>
            <w:r w:rsidR="0099572F" w:rsidRPr="0075656B">
              <w:rPr>
                <w:rFonts w:ascii="Times New Roman" w:hAnsi="Times New Roman"/>
                <w:sz w:val="16"/>
                <w:szCs w:val="16"/>
              </w:rPr>
              <w:t>азделе 7.</w:t>
            </w:r>
            <w:r w:rsidR="00B52C7C" w:rsidRPr="0075656B">
              <w:rPr>
                <w:rFonts w:ascii="Times New Roman" w:hAnsi="Times New Roman"/>
                <w:sz w:val="16"/>
                <w:szCs w:val="16"/>
              </w:rPr>
              <w:t>2</w:t>
            </w:r>
            <w:r w:rsidR="0099572F" w:rsidRPr="0075656B">
              <w:rPr>
                <w:rFonts w:ascii="Times New Roman" w:hAnsi="Times New Roman"/>
                <w:sz w:val="16"/>
                <w:szCs w:val="16"/>
              </w:rPr>
              <w:t>. Регламента</w:t>
            </w:r>
            <w:r w:rsidR="00B52C7C" w:rsidRPr="0075656B">
              <w:rPr>
                <w:rFonts w:ascii="Times New Roman" w:hAnsi="Times New Roman"/>
                <w:sz w:val="16"/>
                <w:szCs w:val="16"/>
              </w:rPr>
              <w:t xml:space="preserve"> </w:t>
            </w:r>
            <w:r w:rsidR="006D02DE" w:rsidRPr="0075656B">
              <w:rPr>
                <w:rFonts w:ascii="Times New Roman" w:eastAsia="MS Gothic" w:hAnsi="Times New Roman"/>
                <w:sz w:val="16"/>
                <w:szCs w:val="16"/>
              </w:rPr>
              <w:t xml:space="preserve">брокерского </w:t>
            </w:r>
            <w:r w:rsidRPr="0075656B">
              <w:rPr>
                <w:rFonts w:ascii="Times New Roman" w:eastAsia="MS Gothic" w:hAnsi="Times New Roman"/>
                <w:sz w:val="16"/>
                <w:szCs w:val="16"/>
              </w:rPr>
              <w:t xml:space="preserve">обслуживании, в том числе </w:t>
            </w:r>
            <w:r w:rsidR="007432B3" w:rsidRPr="0075656B">
              <w:rPr>
                <w:rFonts w:ascii="Times New Roman" w:hAnsi="Times New Roman"/>
                <w:sz w:val="16"/>
                <w:szCs w:val="16"/>
              </w:rPr>
              <w:t>с уведомлением о праве клиринговой организации заключать сделки РЕПО Клирингового центра с ценными бумагами, находящимися на торгово-клиринговом счете Т+ участника клиринга, в том числе с ценными бумагами клиента участника клиринга</w:t>
            </w:r>
            <w:r w:rsidR="00F06D5A" w:rsidRPr="0075656B">
              <w:rPr>
                <w:rFonts w:ascii="Times New Roman" w:hAnsi="Times New Roman"/>
                <w:sz w:val="16"/>
                <w:szCs w:val="16"/>
              </w:rPr>
              <w:t>;</w:t>
            </w:r>
            <w:r w:rsidRPr="0075656B">
              <w:rPr>
                <w:rFonts w:ascii="Times New Roman" w:hAnsi="Times New Roman"/>
                <w:sz w:val="16"/>
                <w:szCs w:val="16"/>
              </w:rPr>
              <w:t xml:space="preserve"> </w:t>
            </w:r>
            <w:r w:rsidR="00F06D5A" w:rsidRPr="0075656B">
              <w:rPr>
                <w:rFonts w:ascii="Times New Roman" w:hAnsi="Times New Roman"/>
                <w:sz w:val="16"/>
                <w:szCs w:val="16"/>
              </w:rPr>
              <w:t xml:space="preserve">с уведомлением о праве клиринговой организации заключать без поручения добросовестного участника клиринга договоры, в результате которых у добросовестного участника клиринга возникает обязанность перед клиринговой организацией по передаче последней </w:t>
            </w:r>
            <w:r w:rsidR="00F06D5A" w:rsidRPr="0075656B">
              <w:rPr>
                <w:rFonts w:ascii="Times New Roman" w:hAnsi="Times New Roman"/>
                <w:sz w:val="16"/>
                <w:szCs w:val="16"/>
              </w:rPr>
              <w:lastRenderedPageBreak/>
              <w:t>денежных средств и/или ценных бумаг, в целях урегулирования обязательств клиринговой организации перед добросовестным участником клиринга;</w:t>
            </w:r>
          </w:p>
          <w:p w14:paraId="5BB8A426" w14:textId="32657A0A" w:rsidR="00753402" w:rsidRPr="0075656B" w:rsidRDefault="006115AA" w:rsidP="00747B3A">
            <w:pPr>
              <w:numPr>
                <w:ilvl w:val="1"/>
                <w:numId w:val="7"/>
              </w:numPr>
              <w:tabs>
                <w:tab w:val="num" w:pos="601"/>
              </w:tabs>
              <w:spacing w:before="120" w:after="120" w:line="240" w:lineRule="auto"/>
              <w:ind w:left="601" w:hanging="318"/>
              <w:mirrorIndents/>
              <w:jc w:val="both"/>
              <w:rPr>
                <w:rFonts w:ascii="Times New Roman" w:hAnsi="Times New Roman"/>
                <w:sz w:val="16"/>
                <w:szCs w:val="16"/>
              </w:rPr>
            </w:pPr>
            <w:r w:rsidRPr="0075656B">
              <w:rPr>
                <w:rFonts w:ascii="Times New Roman" w:hAnsi="Times New Roman"/>
                <w:sz w:val="16"/>
                <w:szCs w:val="16"/>
              </w:rPr>
              <w:t>Ц</w:t>
            </w:r>
            <w:r w:rsidR="00B52C7C" w:rsidRPr="0075656B">
              <w:rPr>
                <w:rFonts w:ascii="Times New Roman" w:hAnsi="Times New Roman"/>
                <w:sz w:val="16"/>
                <w:szCs w:val="16"/>
              </w:rPr>
              <w:t xml:space="preserve">елями использования биржевой информации и мерами ответственности за их нарушение, изложенными в </w:t>
            </w:r>
            <w:r w:rsidR="00CF280B" w:rsidRPr="0075656B">
              <w:rPr>
                <w:rFonts w:ascii="Times New Roman" w:hAnsi="Times New Roman"/>
                <w:sz w:val="16"/>
                <w:szCs w:val="16"/>
              </w:rPr>
              <w:t>р</w:t>
            </w:r>
            <w:r w:rsidR="00B52C7C" w:rsidRPr="0075656B">
              <w:rPr>
                <w:rFonts w:ascii="Times New Roman" w:hAnsi="Times New Roman"/>
                <w:sz w:val="16"/>
                <w:szCs w:val="16"/>
              </w:rPr>
              <w:t xml:space="preserve">азделе 7.5. Регламента </w:t>
            </w:r>
            <w:r w:rsidR="006D02DE" w:rsidRPr="0075656B">
              <w:rPr>
                <w:rFonts w:ascii="Times New Roman" w:eastAsia="MS Gothic" w:hAnsi="Times New Roman"/>
                <w:sz w:val="16"/>
                <w:szCs w:val="16"/>
              </w:rPr>
              <w:t>брокерского обслуживания</w:t>
            </w:r>
            <w:r w:rsidR="00753402" w:rsidRPr="0075656B">
              <w:rPr>
                <w:rFonts w:ascii="Times New Roman" w:hAnsi="Times New Roman"/>
                <w:sz w:val="16"/>
                <w:szCs w:val="16"/>
              </w:rPr>
              <w:t>;</w:t>
            </w:r>
          </w:p>
          <w:p w14:paraId="62DA8EB9" w14:textId="117E2753" w:rsidR="007004B5" w:rsidRPr="0075656B" w:rsidRDefault="0099572F"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я ознакомился (ознакомилась) с Уведомлением об использовании специального брокерского счета, излож</w:t>
            </w:r>
            <w:r w:rsidR="005B57F0" w:rsidRPr="0075656B">
              <w:rPr>
                <w:rFonts w:ascii="Times New Roman" w:hAnsi="Times New Roman"/>
                <w:sz w:val="16"/>
                <w:szCs w:val="16"/>
              </w:rPr>
              <w:t xml:space="preserve">енным в </w:t>
            </w:r>
            <w:r w:rsidR="00CF280B" w:rsidRPr="0075656B">
              <w:rPr>
                <w:rFonts w:ascii="Times New Roman" w:hAnsi="Times New Roman"/>
                <w:sz w:val="16"/>
                <w:szCs w:val="16"/>
              </w:rPr>
              <w:t>р</w:t>
            </w:r>
            <w:r w:rsidR="005B57F0" w:rsidRPr="0075656B">
              <w:rPr>
                <w:rFonts w:ascii="Times New Roman" w:hAnsi="Times New Roman"/>
                <w:sz w:val="16"/>
                <w:szCs w:val="16"/>
              </w:rPr>
              <w:t>азделе 1.8</w:t>
            </w:r>
            <w:r w:rsidRPr="0075656B">
              <w:rPr>
                <w:rFonts w:ascii="Times New Roman" w:hAnsi="Times New Roman"/>
                <w:sz w:val="16"/>
                <w:szCs w:val="16"/>
              </w:rPr>
              <w:t>. Регламента</w:t>
            </w:r>
            <w:r w:rsidR="00E75880" w:rsidRPr="0075656B">
              <w:rPr>
                <w:rFonts w:ascii="Times New Roman" w:hAnsi="Times New Roman"/>
                <w:sz w:val="16"/>
                <w:szCs w:val="16"/>
              </w:rPr>
              <w:t xml:space="preserve"> </w:t>
            </w:r>
            <w:r w:rsidR="006D02DE" w:rsidRPr="0075656B">
              <w:rPr>
                <w:rFonts w:ascii="Times New Roman" w:eastAsia="MS Gothic" w:hAnsi="Times New Roman"/>
                <w:sz w:val="16"/>
                <w:szCs w:val="16"/>
              </w:rPr>
              <w:t>брокерского обслуживания</w:t>
            </w:r>
            <w:r w:rsidR="00F744AF" w:rsidRPr="0075656B">
              <w:rPr>
                <w:rFonts w:ascii="Times New Roman" w:hAnsi="Times New Roman"/>
                <w:sz w:val="16"/>
                <w:szCs w:val="16"/>
              </w:rPr>
              <w:t xml:space="preserve">, </w:t>
            </w:r>
            <w:r w:rsidR="00AC35AC" w:rsidRPr="0075656B">
              <w:rPr>
                <w:rFonts w:ascii="Times New Roman" w:hAnsi="Times New Roman"/>
                <w:sz w:val="16"/>
                <w:szCs w:val="16"/>
              </w:rPr>
              <w:t>в том числе</w:t>
            </w:r>
            <w:r w:rsidR="00E75880" w:rsidRPr="0075656B">
              <w:rPr>
                <w:rFonts w:ascii="Times New Roman" w:hAnsi="Times New Roman"/>
                <w:sz w:val="16"/>
                <w:szCs w:val="16"/>
              </w:rPr>
              <w:t xml:space="preserve"> </w:t>
            </w:r>
            <w:r w:rsidR="00A034C5" w:rsidRPr="0075656B">
              <w:rPr>
                <w:rFonts w:ascii="Times New Roman" w:hAnsi="Times New Roman"/>
                <w:sz w:val="16"/>
                <w:szCs w:val="16"/>
              </w:rPr>
              <w:t>с рисками, связанными с объединением денежных средств клиент</w:t>
            </w:r>
            <w:r w:rsidR="008D112C" w:rsidRPr="0075656B">
              <w:rPr>
                <w:rFonts w:ascii="Times New Roman" w:hAnsi="Times New Roman"/>
                <w:sz w:val="16"/>
                <w:szCs w:val="16"/>
              </w:rPr>
              <w:t>ов на специальном брокерском счете</w:t>
            </w:r>
            <w:r w:rsidR="00A034C5" w:rsidRPr="0075656B">
              <w:rPr>
                <w:rFonts w:ascii="Times New Roman" w:hAnsi="Times New Roman"/>
                <w:sz w:val="16"/>
                <w:szCs w:val="16"/>
              </w:rPr>
              <w:t xml:space="preserve"> с денежными средствами других клиентов</w:t>
            </w:r>
            <w:r w:rsidR="007004B5" w:rsidRPr="0075656B">
              <w:rPr>
                <w:rFonts w:ascii="Times New Roman" w:hAnsi="Times New Roman"/>
                <w:sz w:val="16"/>
                <w:szCs w:val="16"/>
              </w:rPr>
              <w:t>;</w:t>
            </w:r>
          </w:p>
          <w:p w14:paraId="7E3C240A" w14:textId="2758BC44" w:rsidR="008D112C" w:rsidRPr="007A56A2" w:rsidRDefault="008D112C"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 xml:space="preserve">я ознакомился (ознакомилась) с порядком и условиями использования Компанией в собственных интересах денежных средств клиентов, изложенных в </w:t>
            </w:r>
            <w:r w:rsidR="00CF280B" w:rsidRPr="0075656B">
              <w:rPr>
                <w:rFonts w:ascii="Times New Roman" w:hAnsi="Times New Roman"/>
                <w:sz w:val="16"/>
                <w:szCs w:val="16"/>
              </w:rPr>
              <w:t>р</w:t>
            </w:r>
            <w:r w:rsidRPr="0075656B">
              <w:rPr>
                <w:rFonts w:ascii="Times New Roman" w:hAnsi="Times New Roman"/>
                <w:sz w:val="16"/>
                <w:szCs w:val="16"/>
              </w:rPr>
              <w:t xml:space="preserve">азделе 1.8 Регламента </w:t>
            </w:r>
            <w:r w:rsidR="006D02DE" w:rsidRPr="0075656B">
              <w:rPr>
                <w:rFonts w:ascii="Times New Roman" w:eastAsia="MS Gothic" w:hAnsi="Times New Roman"/>
                <w:sz w:val="16"/>
                <w:szCs w:val="16"/>
              </w:rPr>
              <w:t>брокерского обслуживания</w:t>
            </w:r>
            <w:r w:rsidRPr="0075656B">
              <w:rPr>
                <w:rFonts w:ascii="Times New Roman" w:hAnsi="Times New Roman"/>
                <w:sz w:val="16"/>
                <w:szCs w:val="16"/>
              </w:rPr>
              <w:t xml:space="preserve">, в том числе мне известно, что использование Компанией денежных средств осуществляется на безвозмездной основе, в том числе без распределения дохода, полученного от </w:t>
            </w:r>
            <w:r w:rsidRPr="007A56A2">
              <w:rPr>
                <w:rFonts w:ascii="Times New Roman" w:hAnsi="Times New Roman"/>
                <w:sz w:val="16"/>
                <w:szCs w:val="16"/>
              </w:rPr>
              <w:t>такого использования, в пользу Клиента;</w:t>
            </w:r>
          </w:p>
          <w:p w14:paraId="5A11DF93" w14:textId="1ED480B7" w:rsidR="00307084" w:rsidRPr="007266D8" w:rsidRDefault="00307084"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266D8">
              <w:rPr>
                <w:rFonts w:ascii="Times New Roman" w:hAnsi="Times New Roman"/>
                <w:sz w:val="16"/>
                <w:szCs w:val="16"/>
              </w:rPr>
              <w:t>я ознакомился (ознакомил</w:t>
            </w:r>
            <w:r w:rsidR="00BC2C3C" w:rsidRPr="007266D8">
              <w:rPr>
                <w:rFonts w:ascii="Times New Roman" w:hAnsi="Times New Roman"/>
                <w:sz w:val="16"/>
                <w:szCs w:val="16"/>
              </w:rPr>
              <w:t>ась</w:t>
            </w:r>
            <w:r w:rsidRPr="007266D8">
              <w:rPr>
                <w:rFonts w:ascii="Times New Roman" w:hAnsi="Times New Roman"/>
                <w:sz w:val="16"/>
                <w:szCs w:val="16"/>
              </w:rPr>
              <w:t xml:space="preserve">) с порядком и </w:t>
            </w:r>
            <w:r w:rsidR="00BC2C3C" w:rsidRPr="007266D8">
              <w:rPr>
                <w:rFonts w:ascii="Times New Roman" w:hAnsi="Times New Roman"/>
                <w:sz w:val="16"/>
                <w:szCs w:val="16"/>
              </w:rPr>
              <w:t xml:space="preserve">условиями использования Компанией ценных бумаг клиентов, изложенных в </w:t>
            </w:r>
            <w:r w:rsidR="00CF280B" w:rsidRPr="007266D8">
              <w:rPr>
                <w:rFonts w:ascii="Times New Roman" w:hAnsi="Times New Roman"/>
                <w:sz w:val="16"/>
                <w:szCs w:val="16"/>
              </w:rPr>
              <w:t>р</w:t>
            </w:r>
            <w:r w:rsidR="00BC2C3C" w:rsidRPr="007266D8">
              <w:rPr>
                <w:rFonts w:ascii="Times New Roman" w:hAnsi="Times New Roman"/>
                <w:sz w:val="16"/>
                <w:szCs w:val="16"/>
              </w:rPr>
              <w:t xml:space="preserve">азделе </w:t>
            </w:r>
            <w:r w:rsidR="00BC2C3C" w:rsidRPr="001730AC">
              <w:rPr>
                <w:rFonts w:ascii="Times New Roman" w:hAnsi="Times New Roman"/>
                <w:sz w:val="16"/>
                <w:szCs w:val="16"/>
              </w:rPr>
              <w:t>1.</w:t>
            </w:r>
            <w:r w:rsidR="00B21453" w:rsidRPr="001730AC">
              <w:rPr>
                <w:rFonts w:ascii="Times New Roman" w:hAnsi="Times New Roman"/>
                <w:sz w:val="16"/>
                <w:szCs w:val="16"/>
              </w:rPr>
              <w:t xml:space="preserve">10 </w:t>
            </w:r>
            <w:r w:rsidR="00BC2C3C" w:rsidRPr="007A56A2">
              <w:rPr>
                <w:rFonts w:ascii="Times New Roman" w:hAnsi="Times New Roman"/>
                <w:sz w:val="16"/>
                <w:szCs w:val="16"/>
              </w:rPr>
              <w:t xml:space="preserve">Регламента </w:t>
            </w:r>
            <w:r w:rsidR="006D02DE" w:rsidRPr="007A56A2">
              <w:rPr>
                <w:rFonts w:ascii="Times New Roman" w:eastAsia="MS Gothic" w:hAnsi="Times New Roman"/>
                <w:sz w:val="16"/>
                <w:szCs w:val="16"/>
              </w:rPr>
              <w:t>брокерского обслуживания</w:t>
            </w:r>
            <w:r w:rsidR="00BC2C3C" w:rsidRPr="007A56A2">
              <w:rPr>
                <w:rFonts w:ascii="Times New Roman" w:hAnsi="Times New Roman"/>
                <w:sz w:val="16"/>
                <w:szCs w:val="16"/>
              </w:rPr>
              <w:t xml:space="preserve">, в том числе мне известно, </w:t>
            </w:r>
            <w:r w:rsidR="000918A7" w:rsidRPr="007A56A2">
              <w:rPr>
                <w:rFonts w:ascii="Times New Roman" w:hAnsi="Times New Roman"/>
                <w:sz w:val="16"/>
                <w:szCs w:val="16"/>
              </w:rPr>
              <w:t>что использование Компанией ценных бумаг осуществляется на безвозмездно</w:t>
            </w:r>
            <w:r w:rsidR="009753E9" w:rsidRPr="007266D8">
              <w:rPr>
                <w:rFonts w:ascii="Times New Roman" w:hAnsi="Times New Roman"/>
                <w:sz w:val="16"/>
                <w:szCs w:val="16"/>
              </w:rPr>
              <w:t>й</w:t>
            </w:r>
            <w:r w:rsidR="000918A7" w:rsidRPr="007266D8">
              <w:rPr>
                <w:rFonts w:ascii="Times New Roman" w:hAnsi="Times New Roman"/>
                <w:sz w:val="16"/>
                <w:szCs w:val="16"/>
              </w:rPr>
              <w:t xml:space="preserve"> основе, в том числе без распределения дохода, полученного от такого использования, в по</w:t>
            </w:r>
            <w:r w:rsidR="009753E9" w:rsidRPr="007266D8">
              <w:rPr>
                <w:rFonts w:ascii="Times New Roman" w:hAnsi="Times New Roman"/>
                <w:sz w:val="16"/>
                <w:szCs w:val="16"/>
              </w:rPr>
              <w:t>льзу Клиента</w:t>
            </w:r>
            <w:r w:rsidR="0092227C" w:rsidRPr="007266D8">
              <w:rPr>
                <w:rFonts w:ascii="Times New Roman" w:hAnsi="Times New Roman"/>
                <w:sz w:val="16"/>
                <w:szCs w:val="16"/>
              </w:rPr>
              <w:t>;</w:t>
            </w:r>
          </w:p>
          <w:p w14:paraId="7ABAEF41" w14:textId="044FD056" w:rsidR="00875B33" w:rsidRPr="0075656B" w:rsidRDefault="00875B33"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266D8">
              <w:rPr>
                <w:rFonts w:ascii="Times New Roman" w:hAnsi="Times New Roman"/>
                <w:sz w:val="16"/>
                <w:szCs w:val="16"/>
              </w:rPr>
              <w:t xml:space="preserve">я ознакомился (ознакомилась) с Уведомлением о способах учета активов, передаваемых </w:t>
            </w:r>
            <w:r w:rsidR="00F3400E" w:rsidRPr="007266D8">
              <w:rPr>
                <w:rFonts w:ascii="Times New Roman" w:hAnsi="Times New Roman"/>
                <w:sz w:val="16"/>
                <w:szCs w:val="16"/>
              </w:rPr>
              <w:t>к</w:t>
            </w:r>
            <w:r w:rsidRPr="00925498">
              <w:rPr>
                <w:rFonts w:ascii="Times New Roman" w:hAnsi="Times New Roman"/>
                <w:sz w:val="16"/>
                <w:szCs w:val="16"/>
              </w:rPr>
              <w:t xml:space="preserve">лиринговому центру, изложенным в </w:t>
            </w:r>
            <w:r w:rsidR="00CF280B" w:rsidRPr="00925498">
              <w:rPr>
                <w:rFonts w:ascii="Times New Roman" w:hAnsi="Times New Roman"/>
                <w:sz w:val="16"/>
                <w:szCs w:val="16"/>
              </w:rPr>
              <w:t>р</w:t>
            </w:r>
            <w:r w:rsidRPr="00925498">
              <w:rPr>
                <w:rFonts w:ascii="Times New Roman" w:hAnsi="Times New Roman"/>
                <w:sz w:val="16"/>
                <w:szCs w:val="16"/>
              </w:rPr>
              <w:t xml:space="preserve">азделе </w:t>
            </w:r>
            <w:r w:rsidRPr="001730AC">
              <w:rPr>
                <w:rFonts w:ascii="Times New Roman" w:hAnsi="Times New Roman"/>
                <w:sz w:val="16"/>
                <w:szCs w:val="16"/>
              </w:rPr>
              <w:t>1.</w:t>
            </w:r>
            <w:r w:rsidR="00B21453" w:rsidRPr="001730AC">
              <w:rPr>
                <w:rFonts w:ascii="Times New Roman" w:hAnsi="Times New Roman"/>
                <w:sz w:val="16"/>
                <w:szCs w:val="16"/>
              </w:rPr>
              <w:t xml:space="preserve">12 </w:t>
            </w:r>
            <w:r w:rsidRPr="007A56A2">
              <w:rPr>
                <w:rFonts w:ascii="Times New Roman" w:hAnsi="Times New Roman"/>
                <w:sz w:val="16"/>
                <w:szCs w:val="16"/>
              </w:rPr>
              <w:t>Регламента</w:t>
            </w:r>
            <w:r w:rsidR="00593EA3" w:rsidRPr="007A56A2">
              <w:rPr>
                <w:rFonts w:ascii="Times New Roman" w:hAnsi="Times New Roman"/>
                <w:sz w:val="16"/>
                <w:szCs w:val="16"/>
              </w:rPr>
              <w:t xml:space="preserve"> </w:t>
            </w:r>
            <w:r w:rsidR="006D02DE" w:rsidRPr="0075656B">
              <w:rPr>
                <w:rFonts w:ascii="Times New Roman" w:eastAsia="MS Gothic" w:hAnsi="Times New Roman"/>
                <w:sz w:val="16"/>
                <w:szCs w:val="16"/>
              </w:rPr>
              <w:t>брокерского обслуживания</w:t>
            </w:r>
            <w:r w:rsidRPr="0075656B">
              <w:rPr>
                <w:rFonts w:ascii="Times New Roman" w:hAnsi="Times New Roman"/>
                <w:sz w:val="16"/>
                <w:szCs w:val="16"/>
              </w:rPr>
              <w:t>;</w:t>
            </w:r>
          </w:p>
          <w:p w14:paraId="70797D2F" w14:textId="25B69454" w:rsidR="00711CE7" w:rsidRPr="0075656B" w:rsidRDefault="00711CE7"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 xml:space="preserve">я уведомлен </w:t>
            </w:r>
            <w:r w:rsidR="00BA2FC6" w:rsidRPr="0075656B">
              <w:rPr>
                <w:rFonts w:ascii="Times New Roman" w:eastAsia="MS Gothic" w:hAnsi="Times New Roman"/>
                <w:sz w:val="16"/>
                <w:szCs w:val="16"/>
              </w:rPr>
              <w:t xml:space="preserve">(уведомлена) </w:t>
            </w:r>
            <w:r w:rsidRPr="0075656B">
              <w:rPr>
                <w:rFonts w:ascii="Times New Roman" w:hAnsi="Times New Roman"/>
                <w:sz w:val="16"/>
                <w:szCs w:val="16"/>
              </w:rPr>
              <w:t xml:space="preserve">о наличии в Регламенте </w:t>
            </w:r>
            <w:r w:rsidR="006D02DE" w:rsidRPr="0075656B">
              <w:rPr>
                <w:rFonts w:ascii="Times New Roman" w:eastAsia="MS Gothic" w:hAnsi="Times New Roman"/>
                <w:sz w:val="16"/>
                <w:szCs w:val="16"/>
              </w:rPr>
              <w:t>брокерского обслуживания</w:t>
            </w:r>
            <w:r w:rsidR="006D02DE" w:rsidRPr="0075656B">
              <w:rPr>
                <w:rFonts w:ascii="Times New Roman" w:hAnsi="Times New Roman"/>
                <w:sz w:val="16"/>
                <w:szCs w:val="16"/>
              </w:rPr>
              <w:t xml:space="preserve"> </w:t>
            </w:r>
            <w:r w:rsidRPr="0075656B">
              <w:rPr>
                <w:rFonts w:ascii="Times New Roman" w:hAnsi="Times New Roman"/>
                <w:sz w:val="16"/>
                <w:szCs w:val="16"/>
              </w:rPr>
              <w:t>длящихся поручений и ознакомился с их условиями, порядком их исполнения и порядком их отмены;</w:t>
            </w:r>
          </w:p>
          <w:p w14:paraId="7EACF3A6" w14:textId="31CF8176" w:rsidR="002C43E7" w:rsidRPr="0075656B" w:rsidRDefault="002C43E7"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я уведомлен (уведомлена) о дополнительных рисках, связанных с учетом прав на ценные бумаги с местом хранения в иностранной организации;</w:t>
            </w:r>
          </w:p>
          <w:p w14:paraId="2A130E91" w14:textId="48E47017" w:rsidR="0099572F" w:rsidRPr="0075656B" w:rsidRDefault="002942DA" w:rsidP="00747B3A">
            <w:pPr>
              <w:numPr>
                <w:ilvl w:val="0"/>
                <w:numId w:val="7"/>
              </w:numPr>
              <w:tabs>
                <w:tab w:val="clear" w:pos="720"/>
                <w:tab w:val="num" w:pos="318"/>
              </w:tabs>
              <w:spacing w:before="120" w:after="120" w:line="240" w:lineRule="auto"/>
              <w:ind w:left="318" w:hanging="318"/>
              <w:mirrorIndents/>
              <w:jc w:val="both"/>
              <w:rPr>
                <w:rFonts w:ascii="Times New Roman" w:hAnsi="Times New Roman"/>
                <w:sz w:val="16"/>
                <w:szCs w:val="16"/>
              </w:rPr>
            </w:pPr>
            <w:r w:rsidRPr="0075656B">
              <w:rPr>
                <w:rFonts w:ascii="Times New Roman" w:hAnsi="Times New Roman"/>
                <w:sz w:val="16"/>
                <w:szCs w:val="16"/>
              </w:rPr>
              <w:t>я уведомлен (уведомлена), что физическим лицам, не</w:t>
            </w:r>
            <w:r w:rsidRPr="0075656B">
              <w:rPr>
                <w:rFonts w:ascii="Times New Roman" w:eastAsia="MS Gothic" w:hAnsi="Times New Roman"/>
                <w:sz w:val="16"/>
                <w:szCs w:val="16"/>
              </w:rPr>
              <w:t xml:space="preserve"> являющимся квалифицированными инвесторами, </w:t>
            </w:r>
            <w:r w:rsidR="0078338C" w:rsidRPr="0075656B">
              <w:rPr>
                <w:rFonts w:ascii="Times New Roman" w:eastAsia="MS Gothic" w:hAnsi="Times New Roman"/>
                <w:sz w:val="16"/>
                <w:szCs w:val="16"/>
              </w:rPr>
              <w:t xml:space="preserve">отдельные сделки (договоры) </w:t>
            </w:r>
            <w:r w:rsidRPr="0075656B">
              <w:rPr>
                <w:rFonts w:ascii="Times New Roman" w:eastAsia="MS Gothic" w:hAnsi="Times New Roman"/>
                <w:sz w:val="16"/>
                <w:szCs w:val="16"/>
              </w:rPr>
              <w:t xml:space="preserve">доступны только </w:t>
            </w:r>
            <w:r w:rsidR="0078338C" w:rsidRPr="0075656B">
              <w:rPr>
                <w:rFonts w:ascii="Times New Roman" w:eastAsia="MS Gothic" w:hAnsi="Times New Roman"/>
                <w:sz w:val="16"/>
                <w:szCs w:val="16"/>
              </w:rPr>
              <w:t>после прохождения тестирования</w:t>
            </w:r>
            <w:r w:rsidR="00474166" w:rsidRPr="0075656B">
              <w:rPr>
                <w:rFonts w:ascii="Times New Roman" w:eastAsia="MS Gothic" w:hAnsi="Times New Roman"/>
                <w:sz w:val="16"/>
                <w:szCs w:val="16"/>
              </w:rPr>
              <w:t xml:space="preserve"> </w:t>
            </w:r>
            <w:r w:rsidR="00F97C4C" w:rsidRPr="0075656B">
              <w:rPr>
                <w:rFonts w:ascii="Times New Roman" w:eastAsia="MS Gothic" w:hAnsi="Times New Roman"/>
                <w:sz w:val="16"/>
                <w:szCs w:val="16"/>
              </w:rPr>
              <w:t xml:space="preserve">по соответствующим сделкам (договорам) </w:t>
            </w:r>
            <w:r w:rsidR="00474166" w:rsidRPr="0075656B">
              <w:rPr>
                <w:rFonts w:ascii="Times New Roman" w:eastAsia="MS Gothic" w:hAnsi="Times New Roman"/>
                <w:sz w:val="16"/>
                <w:szCs w:val="16"/>
              </w:rPr>
              <w:t>и получения положительного результата такого тестирования</w:t>
            </w:r>
            <w:r w:rsidRPr="0075656B">
              <w:rPr>
                <w:rFonts w:ascii="Times New Roman" w:eastAsia="MS Gothic" w:hAnsi="Times New Roman"/>
                <w:sz w:val="16"/>
                <w:szCs w:val="16"/>
              </w:rPr>
              <w:t>.</w:t>
            </w:r>
          </w:p>
        </w:tc>
      </w:tr>
    </w:tbl>
    <w:p w14:paraId="1107BEAB" w14:textId="770FCE1C" w:rsidR="000B6B66" w:rsidRDefault="00A92FCA" w:rsidP="00747B3A">
      <w:pPr>
        <w:pStyle w:val="a4"/>
        <w:numPr>
          <w:ilvl w:val="0"/>
          <w:numId w:val="1"/>
        </w:numPr>
        <w:tabs>
          <w:tab w:val="left" w:pos="1134"/>
        </w:tabs>
        <w:spacing w:before="120" w:after="120" w:line="240" w:lineRule="auto"/>
        <w:contextualSpacing w:val="0"/>
        <w:mirrorIndents/>
        <w:jc w:val="both"/>
        <w:rPr>
          <w:rFonts w:ascii="Times New Roman" w:eastAsia="MS Gothic" w:hAnsi="Times New Roman"/>
          <w:sz w:val="20"/>
          <w:szCs w:val="20"/>
        </w:rPr>
      </w:pPr>
      <w:r w:rsidRPr="0075656B">
        <w:rPr>
          <w:rFonts w:ascii="Times New Roman" w:eastAsia="MS Gothic" w:hAnsi="Times New Roman"/>
          <w:sz w:val="20"/>
          <w:szCs w:val="20"/>
        </w:rPr>
        <w:lastRenderedPageBreak/>
        <w:t>Заявление физического лица, намеренного заключить договор на брокерское обслуживание, предусматривающего открытие и ведение Индивидуального инвестиционного счета</w:t>
      </w:r>
      <w:r w:rsidR="001E5B33" w:rsidRPr="0075656B">
        <w:rPr>
          <w:rFonts w:ascii="Times New Roman" w:eastAsia="MS Gothic" w:hAnsi="Times New Roman"/>
          <w:sz w:val="20"/>
          <w:szCs w:val="20"/>
        </w:rPr>
        <w:t>:</w:t>
      </w:r>
      <w:r w:rsidR="00B62A14" w:rsidRPr="0075656B">
        <w:rPr>
          <w:rStyle w:val="af5"/>
          <w:rFonts w:ascii="Times New Roman" w:eastAsia="MS Gothic" w:hAnsi="Times New Roman"/>
          <w:sz w:val="20"/>
          <w:szCs w:val="20"/>
        </w:rPr>
        <w:endnoteReference w:id="7"/>
      </w:r>
    </w:p>
    <w:p w14:paraId="346306E0" w14:textId="15FF337F" w:rsidR="00885F3B" w:rsidRPr="008A5BC4" w:rsidRDefault="00885F3B" w:rsidP="008A5BC4">
      <w:pPr>
        <w:pStyle w:val="a4"/>
        <w:numPr>
          <w:ilvl w:val="1"/>
          <w:numId w:val="1"/>
        </w:numPr>
        <w:jc w:val="both"/>
        <w:rPr>
          <w:rFonts w:ascii="Times New Roman" w:eastAsia="MS Gothic" w:hAnsi="Times New Roman"/>
          <w:sz w:val="20"/>
          <w:szCs w:val="20"/>
        </w:rPr>
      </w:pPr>
      <w:r w:rsidRPr="00885F3B">
        <w:rPr>
          <w:rFonts w:ascii="Times New Roman" w:eastAsia="MS Gothic" w:hAnsi="Times New Roman"/>
          <w:sz w:val="20"/>
          <w:szCs w:val="20"/>
        </w:rPr>
        <w:t>Для физических лиц, не являющихся стороной договора, предусматривающего ведение индивидуального инвестиционного счета, либо являющихся стороной договора, предусматривающего ведение индивидуального инвестиционного счета, открытого начиная с 01.01.2024.</w:t>
      </w:r>
    </w:p>
    <w:tbl>
      <w:tblPr>
        <w:tblStyle w:val="af6"/>
        <w:tblW w:w="9498" w:type="dxa"/>
        <w:tblInd w:w="-5" w:type="dxa"/>
        <w:tblLook w:val="04A0" w:firstRow="1" w:lastRow="0" w:firstColumn="1" w:lastColumn="0" w:noHBand="0" w:noVBand="1"/>
      </w:tblPr>
      <w:tblGrid>
        <w:gridCol w:w="9498"/>
      </w:tblGrid>
      <w:tr w:rsidR="000B6B66" w:rsidRPr="00D27A8F" w14:paraId="5E29EE81" w14:textId="77777777" w:rsidTr="00A858AD">
        <w:tc>
          <w:tcPr>
            <w:tcW w:w="9498" w:type="dxa"/>
          </w:tcPr>
          <w:p w14:paraId="03CFB0D3" w14:textId="77777777" w:rsidR="00513B1A" w:rsidRPr="0075656B" w:rsidRDefault="00B369B8" w:rsidP="00513B1A">
            <w:pPr>
              <w:autoSpaceDE w:val="0"/>
              <w:autoSpaceDN w:val="0"/>
              <w:adjustRightInd w:val="0"/>
              <w:spacing w:after="120" w:line="240" w:lineRule="auto"/>
              <w:jc w:val="center"/>
              <w:rPr>
                <w:rFonts w:ascii="Times New Roman" w:hAnsi="Times New Roman"/>
                <w:b/>
                <w:sz w:val="16"/>
                <w:szCs w:val="16"/>
              </w:rPr>
            </w:pPr>
            <w:r w:rsidRPr="0075656B">
              <w:rPr>
                <w:rFonts w:ascii="Times New Roman" w:hAnsi="Times New Roman"/>
                <w:b/>
                <w:sz w:val="16"/>
                <w:szCs w:val="16"/>
              </w:rPr>
              <w:t>Декларация о рисках, связанных</w:t>
            </w:r>
            <w:r w:rsidR="00513B1A" w:rsidRPr="0075656B">
              <w:rPr>
                <w:rFonts w:ascii="Times New Roman" w:hAnsi="Times New Roman"/>
                <w:b/>
                <w:sz w:val="16"/>
                <w:szCs w:val="16"/>
              </w:rPr>
              <w:t xml:space="preserve"> с индивидуальными инвестиционными счетами.</w:t>
            </w:r>
          </w:p>
          <w:p w14:paraId="51BF310B" w14:textId="5DDF648C" w:rsidR="00513B1A" w:rsidRPr="0075656B" w:rsidRDefault="00513B1A" w:rsidP="00513B1A">
            <w:pPr>
              <w:autoSpaceDE w:val="0"/>
              <w:autoSpaceDN w:val="0"/>
              <w:adjustRightInd w:val="0"/>
              <w:spacing w:after="120" w:line="240" w:lineRule="auto"/>
              <w:jc w:val="both"/>
              <w:rPr>
                <w:rFonts w:ascii="Times New Roman" w:hAnsi="Times New Roman"/>
                <w:sz w:val="16"/>
                <w:szCs w:val="16"/>
              </w:rPr>
            </w:pPr>
            <w:r w:rsidRPr="0075656B">
              <w:rPr>
                <w:rFonts w:ascii="Times New Roman" w:hAnsi="Times New Roman"/>
                <w:sz w:val="16"/>
                <w:szCs w:val="16"/>
              </w:rPr>
              <w:t xml:space="preserve">Заключаемый вами договор связан с ведением индивидуального инвестиционного счета, который позволяет вам получить налоговый вычет. Все риски, которые упомянуты в </w:t>
            </w:r>
            <w:r w:rsidR="0039214A" w:rsidRPr="0075656B">
              <w:rPr>
                <w:rFonts w:ascii="Times New Roman" w:hAnsi="Times New Roman"/>
                <w:sz w:val="16"/>
                <w:szCs w:val="16"/>
              </w:rPr>
              <w:t>Декларации об общих рисках, связанных с осуществлением операций на рынке ценных бумаг (</w:t>
            </w:r>
            <w:r w:rsidR="00B369B8" w:rsidRPr="0075656B">
              <w:rPr>
                <w:rFonts w:ascii="Times New Roman" w:hAnsi="Times New Roman"/>
                <w:sz w:val="16"/>
                <w:szCs w:val="16"/>
              </w:rPr>
              <w:t xml:space="preserve">разделе </w:t>
            </w:r>
            <w:r w:rsidR="007266D8">
              <w:rPr>
                <w:rFonts w:ascii="Times New Roman" w:hAnsi="Times New Roman"/>
                <w:sz w:val="16"/>
                <w:szCs w:val="16"/>
              </w:rPr>
              <w:t>7</w:t>
            </w:r>
            <w:r w:rsidR="00B369B8" w:rsidRPr="0075656B">
              <w:rPr>
                <w:rFonts w:ascii="Times New Roman" w:hAnsi="Times New Roman"/>
                <w:sz w:val="16"/>
                <w:szCs w:val="16"/>
              </w:rPr>
              <w:t xml:space="preserve"> </w:t>
            </w:r>
            <w:r w:rsidR="00EF07EC" w:rsidRPr="0075656B">
              <w:rPr>
                <w:rFonts w:ascii="Times New Roman" w:hAnsi="Times New Roman"/>
                <w:sz w:val="16"/>
                <w:szCs w:val="16"/>
              </w:rPr>
              <w:t xml:space="preserve">части </w:t>
            </w:r>
            <w:r w:rsidR="00EF07EC" w:rsidRPr="0075656B">
              <w:rPr>
                <w:rFonts w:ascii="Times New Roman" w:hAnsi="Times New Roman"/>
                <w:sz w:val="16"/>
                <w:szCs w:val="16"/>
                <w:lang w:val="en-US"/>
              </w:rPr>
              <w:t>I</w:t>
            </w:r>
            <w:r w:rsidR="00EF07EC" w:rsidRPr="0075656B">
              <w:rPr>
                <w:rFonts w:ascii="Times New Roman" w:hAnsi="Times New Roman"/>
                <w:sz w:val="16"/>
                <w:szCs w:val="16"/>
              </w:rPr>
              <w:t xml:space="preserve"> </w:t>
            </w:r>
            <w:r w:rsidR="00B369B8" w:rsidRPr="0075656B">
              <w:rPr>
                <w:rFonts w:ascii="Times New Roman" w:hAnsi="Times New Roman"/>
                <w:sz w:val="16"/>
                <w:szCs w:val="16"/>
              </w:rPr>
              <w:t>настоящего Заявления</w:t>
            </w:r>
            <w:r w:rsidR="0039214A" w:rsidRPr="0075656B">
              <w:rPr>
                <w:rFonts w:ascii="Times New Roman" w:hAnsi="Times New Roman"/>
                <w:sz w:val="16"/>
                <w:szCs w:val="16"/>
              </w:rPr>
              <w:t>)</w:t>
            </w:r>
            <w:r w:rsidRPr="0075656B">
              <w:rPr>
                <w:rFonts w:ascii="Times New Roman" w:hAnsi="Times New Roman"/>
                <w:sz w:val="16"/>
                <w:szCs w:val="16"/>
              </w:rPr>
              <w:t>, имеют отношение и к индивидуальным инвестиционным счетам, однако существуют особенности, которые необходимо знать для того, чтобы воспользоваться налоговыми преимуществами, которые предоставляют такие счета, и исключить риск лишиться таких преимуществ.</w:t>
            </w:r>
          </w:p>
          <w:p w14:paraId="4B890468" w14:textId="77777777" w:rsidR="00925498" w:rsidRPr="00925498" w:rsidRDefault="00925498" w:rsidP="00925498">
            <w:pPr>
              <w:autoSpaceDE w:val="0"/>
              <w:autoSpaceDN w:val="0"/>
              <w:adjustRightInd w:val="0"/>
              <w:spacing w:after="120" w:line="240" w:lineRule="auto"/>
              <w:jc w:val="both"/>
              <w:rPr>
                <w:rFonts w:ascii="Times New Roman" w:hAnsi="Times New Roman"/>
                <w:sz w:val="16"/>
                <w:szCs w:val="16"/>
              </w:rPr>
            </w:pPr>
            <w:r w:rsidRPr="00925498">
              <w:rPr>
                <w:rFonts w:ascii="Times New Roman" w:hAnsi="Times New Roman"/>
                <w:sz w:val="16"/>
                <w:szCs w:val="16"/>
              </w:rPr>
              <w:t>Существует два вида налоговых вычета на долгосрочные сбережения граждан, связанных с индивидуальными инвестиционными счетами:</w:t>
            </w:r>
          </w:p>
          <w:p w14:paraId="627AF6CD" w14:textId="77777777" w:rsidR="00925498" w:rsidRPr="00925498" w:rsidRDefault="00925498" w:rsidP="00925498">
            <w:pPr>
              <w:autoSpaceDE w:val="0"/>
              <w:autoSpaceDN w:val="0"/>
              <w:adjustRightInd w:val="0"/>
              <w:spacing w:after="120" w:line="240" w:lineRule="auto"/>
              <w:jc w:val="both"/>
              <w:rPr>
                <w:rFonts w:ascii="Times New Roman" w:hAnsi="Times New Roman"/>
                <w:sz w:val="16"/>
                <w:szCs w:val="16"/>
              </w:rPr>
            </w:pPr>
            <w:r w:rsidRPr="00925498">
              <w:rPr>
                <w:rFonts w:ascii="Times New Roman" w:hAnsi="Times New Roman"/>
                <w:sz w:val="16"/>
                <w:szCs w:val="16"/>
              </w:rPr>
              <w:t>1) «на взнос», по которому вы можете ежегодно обращаться за возвратом уплаченного подоходного налога на сумму сделанного вами взноса, но в совокупности с уплаченными в соответствующем налоговом периоде пенсионных взносов по договору негосударственного пенсионного обеспечения, сберегательных взносов по договору долгосрочным сбережений и сумм денежных средств, внесенных по другим договорам на ведение индивидуального инвестиционного счета, не более 400 000 рублей за налоговый период;</w:t>
            </w:r>
          </w:p>
          <w:p w14:paraId="225AFB54" w14:textId="77777777" w:rsidR="00925498" w:rsidRPr="00925498" w:rsidRDefault="00925498" w:rsidP="00925498">
            <w:pPr>
              <w:autoSpaceDE w:val="0"/>
              <w:autoSpaceDN w:val="0"/>
              <w:adjustRightInd w:val="0"/>
              <w:spacing w:after="120" w:line="240" w:lineRule="auto"/>
              <w:jc w:val="both"/>
              <w:rPr>
                <w:rFonts w:ascii="Times New Roman" w:hAnsi="Times New Roman"/>
                <w:sz w:val="16"/>
                <w:szCs w:val="16"/>
              </w:rPr>
            </w:pPr>
            <w:r w:rsidRPr="00925498">
              <w:rPr>
                <w:rFonts w:ascii="Times New Roman" w:hAnsi="Times New Roman"/>
                <w:sz w:val="16"/>
                <w:szCs w:val="16"/>
              </w:rPr>
              <w:t>2) «на доход», по которому вы можете обращаться за возвратом уплаченного подоходного налога в сумме положительного финансового результата, полученного по операциям на индивидуальном инвестиционном счете на сумму не более 30 миллионов рублей по всем договорам на ведение индивидуального инвестиционного счета, прекращенным в одном налоговом периоде, при условии истечения минимального срока, установленного законодательством о налогах и сборах, с даты заключения соответствующих договоров на ведение индивидуального инвестиционного счета.</w:t>
            </w:r>
          </w:p>
          <w:p w14:paraId="17688BBA" w14:textId="77777777" w:rsidR="00925498" w:rsidRPr="00925498" w:rsidRDefault="00925498" w:rsidP="00925498">
            <w:pPr>
              <w:autoSpaceDE w:val="0"/>
              <w:autoSpaceDN w:val="0"/>
              <w:adjustRightInd w:val="0"/>
              <w:spacing w:after="120" w:line="240" w:lineRule="auto"/>
              <w:jc w:val="both"/>
              <w:rPr>
                <w:rFonts w:ascii="Times New Roman" w:hAnsi="Times New Roman"/>
                <w:sz w:val="16"/>
                <w:szCs w:val="16"/>
              </w:rPr>
            </w:pPr>
            <w:r w:rsidRPr="00925498">
              <w:rPr>
                <w:rFonts w:ascii="Times New Roman" w:hAnsi="Times New Roman"/>
                <w:sz w:val="16"/>
                <w:szCs w:val="16"/>
              </w:rPr>
              <w:t>Вы можете воспользоваться обоими вариантами налогового вычета на долгосрочные сбережения граждан, но вам следует иметь в виду, что если вы прекратите ваш договор до истечения минимального срока, установленного законодательством о налогах и сборах, то не сможете воспользоваться указанными налоговыми вычетами, и, в случае если вы пользовались вычетом «на взнос», вы будете обязаны вернуть государству все суммы возвращенного вам налога, а также уплатить пени.</w:t>
            </w:r>
          </w:p>
          <w:p w14:paraId="1F5083C6" w14:textId="551376BF" w:rsidR="00D44DD0" w:rsidRDefault="00925498" w:rsidP="000B6B66">
            <w:pPr>
              <w:pStyle w:val="a4"/>
              <w:tabs>
                <w:tab w:val="left" w:pos="1134"/>
              </w:tabs>
              <w:spacing w:after="120"/>
              <w:ind w:left="0"/>
              <w:jc w:val="both"/>
              <w:rPr>
                <w:rFonts w:ascii="Times New Roman" w:eastAsia="MS Gothic" w:hAnsi="Times New Roman"/>
                <w:sz w:val="16"/>
                <w:szCs w:val="16"/>
              </w:rPr>
            </w:pPr>
            <w:r w:rsidRPr="00925498">
              <w:rPr>
                <w:rFonts w:ascii="Times New Roman" w:hAnsi="Times New Roman"/>
                <w:sz w:val="16"/>
                <w:szCs w:val="16"/>
              </w:rPr>
              <w:t>Обращаем внимание на то, что вы можете иметь одновременно не более трех индивидуальных инвестиционных счетов. Открытие большего количества индивидуальных инвестиционных счетов может привести к тому, что вы не сможете воспользоваться налоговым вычетом на долгосрочные сбережения граждан ни по одному из них.</w:t>
            </w:r>
          </w:p>
          <w:p w14:paraId="439E5B41" w14:textId="77777777" w:rsidR="00925498" w:rsidRDefault="00925498" w:rsidP="000B6B66">
            <w:pPr>
              <w:pStyle w:val="a4"/>
              <w:tabs>
                <w:tab w:val="left" w:pos="1134"/>
              </w:tabs>
              <w:spacing w:after="120"/>
              <w:ind w:left="0"/>
              <w:jc w:val="both"/>
              <w:rPr>
                <w:rFonts w:ascii="Times New Roman" w:eastAsia="MS Gothic" w:hAnsi="Times New Roman"/>
                <w:sz w:val="16"/>
                <w:szCs w:val="16"/>
              </w:rPr>
            </w:pPr>
          </w:p>
          <w:p w14:paraId="623F57CB" w14:textId="77777777" w:rsidR="00D44DD0" w:rsidRDefault="00805F06" w:rsidP="000B6B66">
            <w:pPr>
              <w:pStyle w:val="a4"/>
              <w:tabs>
                <w:tab w:val="left" w:pos="1134"/>
              </w:tabs>
              <w:spacing w:after="120"/>
              <w:ind w:left="0"/>
              <w:jc w:val="both"/>
              <w:rPr>
                <w:rFonts w:ascii="Times New Roman" w:eastAsia="MS Gothic" w:hAnsi="Times New Roman"/>
                <w:sz w:val="16"/>
                <w:szCs w:val="16"/>
              </w:rPr>
            </w:pPr>
            <w:r w:rsidRPr="0075656B">
              <w:rPr>
                <w:rFonts w:ascii="Times New Roman" w:eastAsia="MS Gothic" w:hAnsi="Times New Roman"/>
                <w:sz w:val="16"/>
                <w:szCs w:val="16"/>
              </w:rPr>
              <w:t>Вариант 1:</w:t>
            </w:r>
          </w:p>
          <w:p w14:paraId="0427D97B" w14:textId="3317E3F5" w:rsidR="00513B1A" w:rsidRPr="0075656B" w:rsidRDefault="00802E57" w:rsidP="000B6B66">
            <w:pPr>
              <w:pStyle w:val="a4"/>
              <w:tabs>
                <w:tab w:val="left" w:pos="1134"/>
              </w:tabs>
              <w:spacing w:after="120"/>
              <w:ind w:left="0"/>
              <w:jc w:val="both"/>
              <w:rPr>
                <w:rFonts w:ascii="Times New Roman" w:eastAsia="MS Gothic" w:hAnsi="Times New Roman"/>
                <w:sz w:val="16"/>
                <w:szCs w:val="16"/>
              </w:rPr>
            </w:pPr>
            <w:sdt>
              <w:sdtPr>
                <w:rPr>
                  <w:rFonts w:ascii="Times New Roman" w:eastAsia="MS Gothic" w:hAnsi="Times New Roman"/>
                  <w:sz w:val="20"/>
                  <w:szCs w:val="20"/>
                </w:rPr>
                <w:id w:val="-2079501005"/>
                <w14:checkbox>
                  <w14:checked w14:val="0"/>
                  <w14:checkedState w14:val="2612" w14:font="MS Gothic"/>
                  <w14:uncheckedState w14:val="2610" w14:font="MS Gothic"/>
                </w14:checkbox>
              </w:sdtPr>
              <w:sdtEndPr/>
              <w:sdtContent>
                <w:r w:rsidR="00D44DD0" w:rsidRPr="0075656B">
                  <w:rPr>
                    <w:rFonts w:ascii="Segoe UI Symbol" w:eastAsia="MS Gothic" w:hAnsi="Segoe UI Symbol" w:cs="Segoe UI Symbol"/>
                    <w:sz w:val="20"/>
                    <w:szCs w:val="20"/>
                  </w:rPr>
                  <w:t>☐</w:t>
                </w:r>
              </w:sdtContent>
            </w:sdt>
            <w:r w:rsidR="00D44DD0" w:rsidRPr="0075656B">
              <w:rPr>
                <w:rFonts w:ascii="Times New Roman" w:eastAsia="MS Gothic" w:hAnsi="Times New Roman"/>
                <w:sz w:val="16"/>
                <w:szCs w:val="16"/>
              </w:rPr>
              <w:t xml:space="preserve"> Настоящим заявляю, что</w:t>
            </w:r>
            <w:r w:rsidR="00D44DD0">
              <w:rPr>
                <w:rFonts w:ascii="Times New Roman" w:eastAsia="MS Gothic" w:hAnsi="Times New Roman"/>
                <w:sz w:val="16"/>
                <w:szCs w:val="16"/>
              </w:rPr>
              <w:t>:</w:t>
            </w:r>
          </w:p>
          <w:p w14:paraId="43CF1318" w14:textId="2CC2F7E8" w:rsidR="00D44DD0" w:rsidRPr="008A5BC4" w:rsidRDefault="00D44DD0" w:rsidP="008A5BC4">
            <w:pPr>
              <w:tabs>
                <w:tab w:val="left" w:pos="1134"/>
              </w:tabs>
              <w:spacing w:after="120"/>
              <w:jc w:val="both"/>
              <w:rPr>
                <w:rFonts w:ascii="Times New Roman" w:eastAsia="MS Gothic" w:hAnsi="Times New Roman"/>
                <w:sz w:val="16"/>
                <w:szCs w:val="16"/>
              </w:rPr>
            </w:pPr>
            <w:r w:rsidRPr="008A5BC4">
              <w:rPr>
                <w:rFonts w:ascii="Times New Roman" w:eastAsia="MS Gothic" w:hAnsi="Times New Roman"/>
                <w:sz w:val="16"/>
                <w:szCs w:val="16"/>
              </w:rPr>
              <w:t>не имею договора на ведение индивидуального инвестиционного счета, заключенного в период с 01.01.2015 г. по 31.12.2023 г. включительно;</w:t>
            </w:r>
          </w:p>
          <w:p w14:paraId="66BC2915" w14:textId="1212651E" w:rsidR="00EE6DF4" w:rsidRPr="008C2976" w:rsidRDefault="00D44DD0" w:rsidP="008A5BC4">
            <w:pPr>
              <w:rPr>
                <w:rFonts w:ascii="Times New Roman" w:eastAsia="MS Gothic" w:hAnsi="Times New Roman"/>
                <w:sz w:val="16"/>
                <w:szCs w:val="16"/>
              </w:rPr>
            </w:pPr>
            <w:r w:rsidRPr="008A5BC4">
              <w:rPr>
                <w:rFonts w:ascii="Times New Roman" w:eastAsia="MS Gothic" w:hAnsi="Times New Roman"/>
                <w:sz w:val="16"/>
                <w:szCs w:val="16"/>
              </w:rPr>
              <w:t>количество заключенных мною действующих договоров на ведение индивидуального инвестиционного счета не превышает двух</w:t>
            </w:r>
            <w:r>
              <w:rPr>
                <w:rFonts w:ascii="Times New Roman" w:eastAsia="MS Gothic" w:hAnsi="Times New Roman"/>
                <w:sz w:val="16"/>
                <w:szCs w:val="16"/>
              </w:rPr>
              <w:t>.</w:t>
            </w:r>
          </w:p>
          <w:p w14:paraId="7809353F" w14:textId="77777777" w:rsidR="000B6B66" w:rsidRPr="0075656B" w:rsidRDefault="00805F06" w:rsidP="000B6B66">
            <w:pPr>
              <w:pStyle w:val="a4"/>
              <w:tabs>
                <w:tab w:val="left" w:pos="1134"/>
              </w:tabs>
              <w:spacing w:after="120"/>
              <w:ind w:left="0"/>
              <w:jc w:val="both"/>
              <w:rPr>
                <w:rFonts w:ascii="Times New Roman" w:eastAsia="MS Gothic" w:hAnsi="Times New Roman"/>
                <w:sz w:val="16"/>
                <w:szCs w:val="16"/>
              </w:rPr>
            </w:pPr>
            <w:r w:rsidRPr="0075656B">
              <w:rPr>
                <w:rFonts w:ascii="Times New Roman" w:eastAsia="MS Gothic" w:hAnsi="Times New Roman"/>
                <w:sz w:val="16"/>
                <w:szCs w:val="16"/>
              </w:rPr>
              <w:t>Вариант 2:</w:t>
            </w:r>
          </w:p>
          <w:p w14:paraId="27CBF37E" w14:textId="2C429191" w:rsidR="00D44DD0" w:rsidRDefault="00802E57" w:rsidP="000B6B66">
            <w:pPr>
              <w:pStyle w:val="a4"/>
              <w:tabs>
                <w:tab w:val="left" w:pos="1134"/>
              </w:tabs>
              <w:spacing w:after="120"/>
              <w:ind w:left="0"/>
              <w:jc w:val="both"/>
              <w:rPr>
                <w:rFonts w:ascii="Times New Roman" w:eastAsia="MS Gothic" w:hAnsi="Times New Roman"/>
                <w:sz w:val="16"/>
                <w:szCs w:val="16"/>
              </w:rPr>
            </w:pPr>
            <w:sdt>
              <w:sdtPr>
                <w:rPr>
                  <w:rFonts w:ascii="Times New Roman" w:eastAsia="MS Gothic" w:hAnsi="Times New Roman"/>
                  <w:sz w:val="20"/>
                  <w:szCs w:val="20"/>
                </w:rPr>
                <w:id w:val="1074313925"/>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r w:rsidR="00806534" w:rsidRPr="0075656B" w:rsidDel="00806534">
              <w:rPr>
                <w:rFonts w:ascii="Times New Roman" w:eastAsia="MS Gothic" w:hAnsi="Times New Roman"/>
                <w:sz w:val="16"/>
                <w:szCs w:val="16"/>
              </w:rPr>
              <w:t xml:space="preserve"> </w:t>
            </w:r>
            <w:r w:rsidR="000B6B66" w:rsidRPr="0075656B">
              <w:rPr>
                <w:rFonts w:ascii="Times New Roman" w:eastAsia="MS Gothic" w:hAnsi="Times New Roman"/>
                <w:sz w:val="16"/>
                <w:szCs w:val="16"/>
              </w:rPr>
              <w:t>Настоящим заявляю, что</w:t>
            </w:r>
            <w:r w:rsidR="00D44DD0">
              <w:rPr>
                <w:rFonts w:ascii="Times New Roman" w:eastAsia="MS Gothic" w:hAnsi="Times New Roman"/>
                <w:sz w:val="16"/>
                <w:szCs w:val="16"/>
              </w:rPr>
              <w:t>:</w:t>
            </w:r>
          </w:p>
          <w:p w14:paraId="44D46DCF" w14:textId="174CB22B"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не имею договора на ведение индивидуального инвестиционного счета, заключенного в период с 01.01.2015 по 31.12.2023 включительно;</w:t>
            </w:r>
          </w:p>
          <w:p w14:paraId="42980CA5" w14:textId="3308CC89" w:rsidR="007266D8" w:rsidRPr="0075656B" w:rsidRDefault="00D44DD0" w:rsidP="00925498">
            <w:pPr>
              <w:jc w:val="both"/>
            </w:pPr>
            <w:r w:rsidRPr="008A5BC4">
              <w:rPr>
                <w:rFonts w:ascii="Times New Roman" w:eastAsia="MS Gothic" w:hAnsi="Times New Roman"/>
                <w:sz w:val="16"/>
                <w:szCs w:val="16"/>
              </w:rPr>
              <w:t xml:space="preserve">количество заключенных мною действующих договоров на ведение индивидуального инвестиционного счета </w:t>
            </w:r>
            <w:r w:rsidR="00207957" w:rsidRPr="008C2976">
              <w:rPr>
                <w:rFonts w:ascii="Times New Roman" w:eastAsia="MS Gothic" w:hAnsi="Times New Roman"/>
                <w:sz w:val="16"/>
                <w:szCs w:val="16"/>
              </w:rPr>
              <w:t>не превышает трех</w:t>
            </w:r>
            <w:r w:rsidRPr="008C2976">
              <w:rPr>
                <w:rFonts w:ascii="Times New Roman" w:eastAsia="MS Gothic" w:hAnsi="Times New Roman"/>
                <w:sz w:val="16"/>
                <w:szCs w:val="16"/>
              </w:rPr>
              <w:t>,</w:t>
            </w:r>
            <w:r w:rsidRPr="008A5BC4">
              <w:rPr>
                <w:rFonts w:ascii="Times New Roman" w:eastAsia="MS Gothic" w:hAnsi="Times New Roman"/>
                <w:sz w:val="16"/>
                <w:szCs w:val="16"/>
              </w:rPr>
              <w:t xml:space="preserve"> при этом договор на ведение индивидуального инвестиционного счета заключается</w:t>
            </w:r>
            <w:r>
              <w:rPr>
                <w:rFonts w:ascii="Times New Roman" w:eastAsia="MS Gothic" w:hAnsi="Times New Roman"/>
                <w:sz w:val="16"/>
                <w:szCs w:val="16"/>
              </w:rPr>
              <w:t xml:space="preserve"> </w:t>
            </w:r>
            <w:r w:rsidRPr="008A5BC4">
              <w:rPr>
                <w:rFonts w:ascii="Times New Roman" w:eastAsia="MS Gothic" w:hAnsi="Times New Roman"/>
                <w:sz w:val="16"/>
                <w:szCs w:val="16"/>
              </w:rPr>
              <w:t xml:space="preserve">для целей передачи на него </w:t>
            </w:r>
            <w:r w:rsidR="00A43A10">
              <w:rPr>
                <w:rFonts w:ascii="Times New Roman" w:eastAsia="MS Gothic" w:hAnsi="Times New Roman"/>
                <w:sz w:val="16"/>
                <w:szCs w:val="16"/>
              </w:rPr>
              <w:t>активов</w:t>
            </w:r>
            <w:r w:rsidRPr="008A5BC4">
              <w:rPr>
                <w:rFonts w:ascii="Times New Roman" w:eastAsia="MS Gothic" w:hAnsi="Times New Roman"/>
                <w:sz w:val="16"/>
                <w:szCs w:val="16"/>
              </w:rPr>
              <w:t xml:space="preserve"> </w:t>
            </w:r>
          </w:p>
        </w:tc>
      </w:tr>
    </w:tbl>
    <w:p w14:paraId="56CFCBDC" w14:textId="739B6AA6" w:rsidR="00D44DD0" w:rsidRPr="008A5BC4" w:rsidRDefault="00D44DD0" w:rsidP="008A5BC4">
      <w:pPr>
        <w:pStyle w:val="a4"/>
        <w:numPr>
          <w:ilvl w:val="1"/>
          <w:numId w:val="1"/>
        </w:numPr>
        <w:jc w:val="both"/>
        <w:rPr>
          <w:rFonts w:ascii="Times New Roman" w:eastAsia="MS Gothic" w:hAnsi="Times New Roman"/>
          <w:sz w:val="20"/>
          <w:szCs w:val="20"/>
        </w:rPr>
      </w:pPr>
      <w:r w:rsidRPr="008A5BC4">
        <w:rPr>
          <w:rFonts w:ascii="Times New Roman" w:eastAsia="MS Gothic" w:hAnsi="Times New Roman"/>
          <w:sz w:val="20"/>
          <w:szCs w:val="20"/>
        </w:rPr>
        <w:lastRenderedPageBreak/>
        <w:t>Для физических лиц, одновременно отвечающих следующим условиям: (</w:t>
      </w:r>
      <w:r>
        <w:rPr>
          <w:rFonts w:ascii="Times New Roman" w:eastAsia="MS Gothic" w:hAnsi="Times New Roman"/>
          <w:sz w:val="20"/>
          <w:szCs w:val="20"/>
          <w:lang w:val="en-US"/>
        </w:rPr>
        <w:t>i</w:t>
      </w:r>
      <w:r w:rsidRPr="008A5BC4">
        <w:rPr>
          <w:rFonts w:ascii="Times New Roman" w:eastAsia="MS Gothic" w:hAnsi="Times New Roman"/>
          <w:sz w:val="20"/>
          <w:szCs w:val="20"/>
        </w:rPr>
        <w:t>) являющихся стороной договора, предусматривающего ведение индивидуального инвестиционного счета, заключенного в период с 01.01.2015 по 31.12.2023 включительно и не делавших заявления об использовании индивидуального инвестиционного в качестве индивидуального инвестиционного счета, открытого после 01.01.2024, и (</w:t>
      </w:r>
      <w:r>
        <w:rPr>
          <w:rFonts w:ascii="Times New Roman" w:eastAsia="MS Gothic" w:hAnsi="Times New Roman"/>
          <w:sz w:val="20"/>
          <w:szCs w:val="20"/>
          <w:lang w:val="en-US"/>
        </w:rPr>
        <w:t>ii</w:t>
      </w:r>
      <w:r w:rsidRPr="008A5BC4">
        <w:rPr>
          <w:rFonts w:ascii="Times New Roman" w:eastAsia="MS Gothic" w:hAnsi="Times New Roman"/>
          <w:sz w:val="20"/>
          <w:szCs w:val="20"/>
        </w:rPr>
        <w:t xml:space="preserve">) заключающих договор на ведение индивидуального счета в целях передачи учтенных на индивидуальном инвестиционном счете такого физического лица денежных средств, драгоценных металлов и ценных бумаг </w:t>
      </w:r>
      <w:r w:rsidR="007A77D2" w:rsidRPr="0045495A">
        <w:rPr>
          <w:rFonts w:ascii="Times New Roman" w:eastAsia="MS Gothic" w:hAnsi="Times New Roman"/>
          <w:sz w:val="20"/>
          <w:szCs w:val="16"/>
        </w:rPr>
        <w:t xml:space="preserve">Акционерному обществу «Инвестиционная компания «Горизонт» </w:t>
      </w:r>
      <w:r w:rsidRPr="008A5BC4">
        <w:rPr>
          <w:rFonts w:ascii="Times New Roman" w:eastAsia="MS Gothic" w:hAnsi="Times New Roman"/>
          <w:sz w:val="20"/>
          <w:szCs w:val="20"/>
        </w:rPr>
        <w:t>как другому профессиональному участнику рынка ценных бумаг</w:t>
      </w:r>
    </w:p>
    <w:tbl>
      <w:tblPr>
        <w:tblStyle w:val="af6"/>
        <w:tblW w:w="9498" w:type="dxa"/>
        <w:tblInd w:w="-5" w:type="dxa"/>
        <w:tblLook w:val="04A0" w:firstRow="1" w:lastRow="0" w:firstColumn="1" w:lastColumn="0" w:noHBand="0" w:noVBand="1"/>
      </w:tblPr>
      <w:tblGrid>
        <w:gridCol w:w="9498"/>
      </w:tblGrid>
      <w:tr w:rsidR="00D44DD0" w14:paraId="7F20CF4A" w14:textId="77777777" w:rsidTr="0041750B">
        <w:tc>
          <w:tcPr>
            <w:tcW w:w="9498" w:type="dxa"/>
          </w:tcPr>
          <w:p w14:paraId="7CCC9182" w14:textId="77777777" w:rsidR="00D44DD0" w:rsidRPr="008A5BC4" w:rsidRDefault="00D44DD0" w:rsidP="008A5BC4">
            <w:pPr>
              <w:autoSpaceDE w:val="0"/>
              <w:autoSpaceDN w:val="0"/>
              <w:adjustRightInd w:val="0"/>
              <w:spacing w:after="120" w:line="240" w:lineRule="auto"/>
              <w:jc w:val="center"/>
              <w:rPr>
                <w:rFonts w:ascii="Times New Roman" w:hAnsi="Times New Roman"/>
                <w:b/>
                <w:sz w:val="16"/>
                <w:szCs w:val="16"/>
              </w:rPr>
            </w:pPr>
            <w:r w:rsidRPr="008A5BC4">
              <w:rPr>
                <w:rFonts w:ascii="Times New Roman" w:hAnsi="Times New Roman"/>
                <w:b/>
                <w:sz w:val="16"/>
                <w:szCs w:val="16"/>
              </w:rPr>
              <w:t>Декларация о рисках, связанных с индивидуальными инвестиционными счетами.</w:t>
            </w:r>
          </w:p>
          <w:p w14:paraId="4EF71938" w14:textId="2C575C11"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 xml:space="preserve">Заключаемый вами договор связан с ведением индивидуального инвестиционного счета, который позволяет вам получить инвестиционный налоговый вычет. Все риски, которые упомянуты в Декларации об общих рисках, связанных с осуществлением операций на рынке ценных бумаг (разделе </w:t>
            </w:r>
            <w:r w:rsidR="00925498">
              <w:rPr>
                <w:rFonts w:ascii="Times New Roman" w:eastAsia="MS Gothic" w:hAnsi="Times New Roman"/>
                <w:sz w:val="16"/>
                <w:szCs w:val="16"/>
              </w:rPr>
              <w:t>7</w:t>
            </w:r>
            <w:r w:rsidRPr="008A5BC4">
              <w:rPr>
                <w:rFonts w:ascii="Times New Roman" w:eastAsia="MS Gothic" w:hAnsi="Times New Roman"/>
                <w:sz w:val="16"/>
                <w:szCs w:val="16"/>
              </w:rPr>
              <w:t xml:space="preserve"> части I настоящего Заявления), имеют отношение и к индивидуальным инвестиционным счетам, однако существуют особенности, которые необходимо знать для того, чтобы воспользоваться налоговыми преимуществами, которые предоставляют такие счета, и исключить риск лишиться таких преимуществ.</w:t>
            </w:r>
          </w:p>
          <w:p w14:paraId="788F4FE2"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Существует два варианта инвестиционных налоговых вычетов:</w:t>
            </w:r>
          </w:p>
          <w:p w14:paraId="2CF88970"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1) «на взнос», по которому вы можете ежегодно обращаться за возвратом уплаченного подоходного налога на сумму сделанного вами взноса, но должны будете уплатить подоходный налог на доход, исчисленный при закрытии индивидуального инвестиционного счета;</w:t>
            </w:r>
          </w:p>
          <w:p w14:paraId="55BD5CBC"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2) «на изъятие средств со счета», по которому вы не сможете получать ежегодный возврат налога, но будете освобождены от уплаты подоходного налога при изъятии средств с индивидуального инвестиционного счета.</w:t>
            </w:r>
          </w:p>
          <w:p w14:paraId="5C9B8A56"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Обратите внимание на то, что вы сможете воспользоваться только одним из вариантов инвестиционного налогового вычета, это значит, что если вы хотя бы однажды воспользуетесь инвестиционным вычетом «на взнос», то не сможете воспользоваться инвестиционным вычетом «на изъятие средств», что может лишить вас всех преимуществ этого варианта. Определите предпочтительный для вас вариант, обсудите достоинства и недостатки каждого варианта с вашим брокером и (или) консультантом, специализирующимся на соответствующих консультациях.</w:t>
            </w:r>
          </w:p>
          <w:p w14:paraId="5616F09D"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Вам следует иметь в виду также то, что если вы прекратите ваш договор ранее трех лет, то не сможете воспользоваться описанными инвестиционными налоговыми вычетами, и, в случае если вы пользовались вычетом «на взнос», вы будете обязаны вернуть государству все суммы возвращенного вам налога.</w:t>
            </w:r>
          </w:p>
          <w:p w14:paraId="49199C0A" w14:textId="77777777"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Ваш брокер не знает о вашем выборе варианта инвестиционного налогового вычета и не участвует в ваших отношениях с налоговой службой.</w:t>
            </w:r>
          </w:p>
          <w:p w14:paraId="40F84E75" w14:textId="1C5EE97E" w:rsidR="00D44DD0" w:rsidRPr="008A5BC4" w:rsidRDefault="00D44DD0" w:rsidP="008A5BC4">
            <w:pPr>
              <w:jc w:val="both"/>
              <w:rPr>
                <w:rFonts w:ascii="Times New Roman" w:eastAsia="MS Gothic" w:hAnsi="Times New Roman"/>
                <w:sz w:val="16"/>
                <w:szCs w:val="16"/>
              </w:rPr>
            </w:pPr>
            <w:r w:rsidRPr="008A5BC4">
              <w:rPr>
                <w:rFonts w:ascii="Times New Roman" w:eastAsia="MS Gothic" w:hAnsi="Times New Roman"/>
                <w:sz w:val="16"/>
                <w:szCs w:val="16"/>
              </w:rPr>
              <w:t>Обращаем внимание на то, что вы можете иметь только один индивидуальный инвестиционный счет. Открытие нескольких индивидуальных инвестиционных счетов у одного или у разных профессиональных участников рынка ценных бумаг приведет к тому, что вы не сможете воспользоваться инвестиционным налоговым вычетом ни по одному из них.</w:t>
            </w:r>
          </w:p>
          <w:p w14:paraId="10E6BE57" w14:textId="48C180BB" w:rsidR="00D44DD0" w:rsidRDefault="00802E57" w:rsidP="008A5BC4">
            <w:pPr>
              <w:jc w:val="both"/>
              <w:rPr>
                <w:rFonts w:ascii="Tahoma" w:eastAsia="MS Gothic" w:hAnsi="Tahoma" w:cs="Tahoma"/>
                <w:sz w:val="20"/>
                <w:szCs w:val="20"/>
              </w:rPr>
            </w:pPr>
            <w:sdt>
              <w:sdtPr>
                <w:rPr>
                  <w:rFonts w:ascii="Times New Roman" w:eastAsia="MS Gothic" w:hAnsi="Times New Roman"/>
                  <w:sz w:val="16"/>
                  <w:szCs w:val="16"/>
                </w:rPr>
                <w:id w:val="-147123538"/>
                <w14:checkbox>
                  <w14:checked w14:val="0"/>
                  <w14:checkedState w14:val="2612" w14:font="MS Gothic"/>
                  <w14:uncheckedState w14:val="2610" w14:font="MS Gothic"/>
                </w14:checkbox>
              </w:sdtPr>
              <w:sdtEndPr/>
              <w:sdtContent>
                <w:r w:rsidR="00D44DD0" w:rsidRPr="008A5BC4">
                  <w:rPr>
                    <w:rFonts w:ascii="Times New Roman" w:eastAsia="MS Gothic" w:hAnsi="Times New Roman"/>
                    <w:sz w:val="16"/>
                    <w:szCs w:val="16"/>
                  </w:rPr>
                  <w:t>☐</w:t>
                </w:r>
              </w:sdtContent>
            </w:sdt>
            <w:r w:rsidR="00D44DD0" w:rsidRPr="008A5BC4" w:rsidDel="00806534">
              <w:rPr>
                <w:rFonts w:ascii="Times New Roman" w:eastAsia="MS Gothic" w:hAnsi="Times New Roman"/>
                <w:sz w:val="16"/>
                <w:szCs w:val="16"/>
              </w:rPr>
              <w:t xml:space="preserve"> </w:t>
            </w:r>
            <w:r w:rsidR="00D44DD0" w:rsidRPr="008A5BC4">
              <w:rPr>
                <w:rFonts w:ascii="Times New Roman" w:eastAsia="MS Gothic" w:hAnsi="Times New Roman"/>
                <w:sz w:val="16"/>
                <w:szCs w:val="16"/>
              </w:rPr>
              <w:t xml:space="preserve">Настоящим заявляю, что договор на ведение индивидуального инвестиционного счета, заключенный с другим профессиональным участником, будет прекращен не позднее месяца с даты настоящего заявления, при этом договор с другим профессиональным участником будет прекращен с передачей </w:t>
            </w:r>
            <w:r w:rsidR="00A43A10">
              <w:rPr>
                <w:rFonts w:ascii="Times New Roman" w:eastAsia="MS Gothic" w:hAnsi="Times New Roman"/>
                <w:sz w:val="16"/>
                <w:szCs w:val="16"/>
              </w:rPr>
              <w:t>активо</w:t>
            </w:r>
            <w:r w:rsidR="003441E1">
              <w:rPr>
                <w:rFonts w:ascii="Times New Roman" w:eastAsia="MS Gothic" w:hAnsi="Times New Roman"/>
                <w:sz w:val="16"/>
                <w:szCs w:val="16"/>
              </w:rPr>
              <w:t>в</w:t>
            </w:r>
            <w:r w:rsidR="00D44DD0" w:rsidRPr="008A5BC4">
              <w:rPr>
                <w:rFonts w:ascii="Times New Roman" w:eastAsia="MS Gothic" w:hAnsi="Times New Roman"/>
                <w:sz w:val="16"/>
                <w:szCs w:val="16"/>
              </w:rPr>
              <w:t xml:space="preserve"> </w:t>
            </w:r>
            <w:r w:rsidR="007A77D2">
              <w:rPr>
                <w:rFonts w:ascii="Times New Roman" w:eastAsia="MS Gothic" w:hAnsi="Times New Roman"/>
                <w:sz w:val="16"/>
                <w:szCs w:val="16"/>
              </w:rPr>
              <w:t>Акционерному обществу «Инвестиционная компания «Горизонт»</w:t>
            </w:r>
          </w:p>
        </w:tc>
      </w:tr>
    </w:tbl>
    <w:p w14:paraId="12BF8172" w14:textId="77777777" w:rsidR="00473BCD" w:rsidRPr="0075656B" w:rsidRDefault="00473BCD" w:rsidP="00985EDB">
      <w:pPr>
        <w:pStyle w:val="a4"/>
        <w:spacing w:line="240" w:lineRule="auto"/>
        <w:ind w:left="567"/>
        <w:jc w:val="both"/>
        <w:rPr>
          <w:rFonts w:ascii="Times New Roman" w:eastAsia="MS Gothic" w:hAnsi="Times New Roman"/>
          <w:sz w:val="20"/>
          <w:szCs w:val="20"/>
        </w:rPr>
      </w:pPr>
    </w:p>
    <w:p w14:paraId="3A19D70F" w14:textId="29C1C2A1" w:rsidR="00C750B3" w:rsidRPr="0075656B" w:rsidRDefault="00C750B3" w:rsidP="00E11D62">
      <w:pPr>
        <w:pStyle w:val="a4"/>
        <w:numPr>
          <w:ilvl w:val="0"/>
          <w:numId w:val="4"/>
        </w:numPr>
        <w:spacing w:line="240" w:lineRule="auto"/>
        <w:ind w:left="567" w:hanging="567"/>
        <w:jc w:val="both"/>
        <w:rPr>
          <w:rFonts w:ascii="Times New Roman" w:eastAsia="MS Gothic" w:hAnsi="Times New Roman"/>
          <w:i/>
          <w:sz w:val="20"/>
          <w:szCs w:val="20"/>
        </w:rPr>
      </w:pPr>
      <w:r w:rsidRPr="0075656B">
        <w:rPr>
          <w:rFonts w:ascii="Times New Roman" w:eastAsia="MS Gothic" w:hAnsi="Times New Roman"/>
          <w:sz w:val="20"/>
          <w:szCs w:val="20"/>
        </w:rPr>
        <w:t>Присоединение к Депозитарному договору</w:t>
      </w:r>
      <w:r w:rsidR="00B85F67" w:rsidRPr="0075656B">
        <w:rPr>
          <w:rFonts w:ascii="Times New Roman" w:eastAsia="MS Gothic" w:hAnsi="Times New Roman"/>
          <w:sz w:val="20"/>
          <w:szCs w:val="20"/>
        </w:rPr>
        <w:t xml:space="preserve"> </w:t>
      </w:r>
      <w:r w:rsidR="00B85F67" w:rsidRPr="0075656B">
        <w:rPr>
          <w:rFonts w:ascii="Times New Roman" w:eastAsia="MS Gothic" w:hAnsi="Times New Roman"/>
          <w:i/>
          <w:sz w:val="20"/>
          <w:szCs w:val="20"/>
        </w:rPr>
        <w:t xml:space="preserve">(возмездному договору, заключаемому </w:t>
      </w:r>
      <w:r w:rsidR="00B85F67" w:rsidRPr="0075656B">
        <w:rPr>
          <w:rFonts w:ascii="Times New Roman" w:hAnsi="Times New Roman"/>
          <w:i/>
          <w:color w:val="000000"/>
          <w:w w:val="102"/>
          <w:sz w:val="20"/>
          <w:szCs w:val="20"/>
        </w:rPr>
        <w:t>между Депозитарием и заявителем, в рамках которого Депозитарий обязывается оказывать Депоненту услуги по хранению сертификатов ценных бумаг, принадлежащих Депоненту, учету и удостоверению прав на ценные бумаги путем открытия и ведения Депозитарием счетов депо Депонента, осуществления операций по этим счетам депо; услуги, содействующих реализации Депонентом прав по ценным бумагам)</w:t>
      </w:r>
    </w:p>
    <w:p w14:paraId="0C5C3BB6" w14:textId="77777777" w:rsidR="006E3464" w:rsidRPr="0075656B" w:rsidRDefault="00802E57" w:rsidP="00E11D62">
      <w:pPr>
        <w:tabs>
          <w:tab w:val="left" w:pos="1134"/>
        </w:tabs>
        <w:spacing w:line="240" w:lineRule="auto"/>
        <w:ind w:left="284"/>
        <w:jc w:val="both"/>
        <w:rPr>
          <w:rFonts w:ascii="Times New Roman" w:eastAsia="MS Gothic" w:hAnsi="Times New Roman"/>
          <w:sz w:val="16"/>
          <w:szCs w:val="16"/>
        </w:rPr>
      </w:pPr>
      <w:sdt>
        <w:sdtPr>
          <w:rPr>
            <w:rFonts w:ascii="Times New Roman" w:eastAsia="MS Gothic" w:hAnsi="Times New Roman"/>
            <w:sz w:val="20"/>
            <w:szCs w:val="20"/>
          </w:rPr>
          <w:id w:val="1922751729"/>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r w:rsidR="00806534" w:rsidRPr="0075656B">
        <w:rPr>
          <w:rFonts w:ascii="Times New Roman" w:eastAsia="MS Gothic" w:hAnsi="Times New Roman"/>
          <w:sz w:val="16"/>
          <w:szCs w:val="16"/>
        </w:rPr>
        <w:t xml:space="preserve"> </w:t>
      </w:r>
      <w:r w:rsidR="006E3464" w:rsidRPr="0075656B">
        <w:rPr>
          <w:rFonts w:ascii="Times New Roman" w:eastAsia="MS Gothic" w:hAnsi="Times New Roman"/>
          <w:sz w:val="16"/>
          <w:szCs w:val="16"/>
        </w:rPr>
        <w:t>Отметка о присоединении к Депозитарному договору</w:t>
      </w:r>
    </w:p>
    <w:p w14:paraId="496B5FC0" w14:textId="06619B17" w:rsidR="00C750B3" w:rsidRPr="0075656B" w:rsidRDefault="00C750B3" w:rsidP="00E11D62">
      <w:pPr>
        <w:pStyle w:val="a4"/>
        <w:numPr>
          <w:ilvl w:val="0"/>
          <w:numId w:val="8"/>
        </w:numPr>
        <w:tabs>
          <w:tab w:val="left" w:pos="1134"/>
        </w:tabs>
        <w:spacing w:after="120" w:line="240" w:lineRule="auto"/>
        <w:contextualSpacing w:val="0"/>
        <w:jc w:val="both"/>
        <w:rPr>
          <w:rFonts w:ascii="Times New Roman" w:eastAsia="MS Gothic" w:hAnsi="Times New Roman"/>
          <w:sz w:val="16"/>
          <w:szCs w:val="16"/>
        </w:rPr>
      </w:pPr>
      <w:r w:rsidRPr="0075656B">
        <w:rPr>
          <w:rFonts w:ascii="Times New Roman" w:eastAsia="MS Gothic" w:hAnsi="Times New Roman"/>
          <w:sz w:val="16"/>
          <w:szCs w:val="16"/>
        </w:rPr>
        <w:lastRenderedPageBreak/>
        <w:t xml:space="preserve">Настоящим в соответствие со статьей 428 Гражданского кодекса РФ полностью </w:t>
      </w:r>
      <w:r w:rsidR="005B2B33" w:rsidRPr="0075656B">
        <w:rPr>
          <w:rFonts w:ascii="Times New Roman" w:eastAsia="MS Gothic" w:hAnsi="Times New Roman"/>
          <w:sz w:val="16"/>
          <w:szCs w:val="16"/>
        </w:rPr>
        <w:t xml:space="preserve">и безусловно </w:t>
      </w:r>
      <w:r w:rsidR="00607F94" w:rsidRPr="0075656B">
        <w:rPr>
          <w:rFonts w:ascii="Times New Roman" w:eastAsia="MS Gothic" w:hAnsi="Times New Roman"/>
          <w:sz w:val="16"/>
          <w:szCs w:val="16"/>
        </w:rPr>
        <w:t>принимаю условия Депозитарного</w:t>
      </w:r>
      <w:r w:rsidRPr="0075656B">
        <w:rPr>
          <w:rFonts w:ascii="Times New Roman" w:eastAsia="MS Gothic" w:hAnsi="Times New Roman"/>
          <w:sz w:val="16"/>
          <w:szCs w:val="16"/>
        </w:rPr>
        <w:t xml:space="preserve"> договор</w:t>
      </w:r>
      <w:r w:rsidR="00607F94" w:rsidRPr="0075656B">
        <w:rPr>
          <w:rFonts w:ascii="Times New Roman" w:eastAsia="MS Gothic" w:hAnsi="Times New Roman"/>
          <w:sz w:val="16"/>
          <w:szCs w:val="16"/>
        </w:rPr>
        <w:t>а</w:t>
      </w:r>
      <w:r w:rsidRPr="0075656B">
        <w:rPr>
          <w:rFonts w:ascii="Times New Roman" w:eastAsia="MS Gothic" w:hAnsi="Times New Roman"/>
          <w:sz w:val="16"/>
          <w:szCs w:val="16"/>
        </w:rPr>
        <w:t xml:space="preserve"> форма и условия которого содержатся в </w:t>
      </w:r>
      <w:r w:rsidR="00607F94" w:rsidRPr="0075656B">
        <w:rPr>
          <w:rFonts w:ascii="Times New Roman" w:eastAsia="MS Gothic" w:hAnsi="Times New Roman"/>
          <w:sz w:val="16"/>
          <w:szCs w:val="16"/>
        </w:rPr>
        <w:t>Условия</w:t>
      </w:r>
      <w:r w:rsidR="00DF60CB" w:rsidRPr="0075656B">
        <w:rPr>
          <w:rFonts w:ascii="Times New Roman" w:eastAsia="MS Gothic" w:hAnsi="Times New Roman"/>
          <w:sz w:val="16"/>
          <w:szCs w:val="16"/>
        </w:rPr>
        <w:t>х</w:t>
      </w:r>
      <w:r w:rsidR="00607F94" w:rsidRPr="0075656B">
        <w:rPr>
          <w:rFonts w:ascii="Times New Roman" w:eastAsia="MS Gothic" w:hAnsi="Times New Roman"/>
          <w:sz w:val="16"/>
          <w:szCs w:val="16"/>
        </w:rPr>
        <w:t xml:space="preserve"> осуществления депозитарной деятельности </w:t>
      </w:r>
      <w:r w:rsidRPr="0075656B">
        <w:rPr>
          <w:rFonts w:ascii="Times New Roman" w:eastAsia="MS Gothic" w:hAnsi="Times New Roman"/>
          <w:sz w:val="16"/>
          <w:szCs w:val="16"/>
        </w:rPr>
        <w:t xml:space="preserve">депозитария </w:t>
      </w:r>
      <w:r w:rsidR="006B136A">
        <w:rPr>
          <w:rFonts w:ascii="Times New Roman" w:eastAsia="MS Gothic" w:hAnsi="Times New Roman"/>
          <w:sz w:val="16"/>
          <w:szCs w:val="16"/>
        </w:rPr>
        <w:t>Акционерного общества «Инвестиционная компания «Горизонт»</w:t>
      </w:r>
      <w:r w:rsidR="00DF60CB" w:rsidRPr="0075656B">
        <w:rPr>
          <w:rFonts w:ascii="Times New Roman" w:eastAsia="MS Gothic" w:hAnsi="Times New Roman"/>
          <w:sz w:val="16"/>
          <w:szCs w:val="16"/>
        </w:rPr>
        <w:t xml:space="preserve"> (Клиентский регламент депозитария)</w:t>
      </w:r>
      <w:r w:rsidRPr="0075656B">
        <w:rPr>
          <w:rFonts w:ascii="Times New Roman" w:eastAsia="MS Gothic" w:hAnsi="Times New Roman"/>
          <w:sz w:val="16"/>
          <w:szCs w:val="16"/>
        </w:rPr>
        <w:t xml:space="preserve"> (далее – </w:t>
      </w:r>
      <w:r w:rsidR="00DF60CB" w:rsidRPr="0075656B">
        <w:rPr>
          <w:rFonts w:ascii="Times New Roman" w:eastAsia="MS Gothic" w:hAnsi="Times New Roman"/>
          <w:sz w:val="16"/>
          <w:szCs w:val="16"/>
        </w:rPr>
        <w:t>Условия осуществления депозитарной деятельности</w:t>
      </w:r>
      <w:r w:rsidRPr="0075656B">
        <w:rPr>
          <w:rFonts w:ascii="Times New Roman" w:eastAsia="MS Gothic" w:hAnsi="Times New Roman"/>
          <w:sz w:val="16"/>
          <w:szCs w:val="16"/>
        </w:rPr>
        <w:t>), размещенн</w:t>
      </w:r>
      <w:r w:rsidR="00DF60CB" w:rsidRPr="0075656B">
        <w:rPr>
          <w:rFonts w:ascii="Times New Roman" w:eastAsia="MS Gothic" w:hAnsi="Times New Roman"/>
          <w:sz w:val="16"/>
          <w:szCs w:val="16"/>
        </w:rPr>
        <w:t>ых</w:t>
      </w:r>
      <w:r w:rsidRPr="0075656B">
        <w:rPr>
          <w:rFonts w:ascii="Times New Roman" w:eastAsia="MS Gothic" w:hAnsi="Times New Roman"/>
          <w:sz w:val="16"/>
          <w:szCs w:val="16"/>
        </w:rPr>
        <w:t xml:space="preserve"> на странице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в </w:t>
      </w:r>
      <w:r w:rsidR="006E7920" w:rsidRPr="0075656B">
        <w:rPr>
          <w:rFonts w:ascii="Times New Roman" w:eastAsia="MS Gothic" w:hAnsi="Times New Roman"/>
          <w:sz w:val="16"/>
          <w:szCs w:val="16"/>
        </w:rPr>
        <w:t>информационно-</w:t>
      </w:r>
      <w:r w:rsidR="00A119E0" w:rsidRPr="0075656B">
        <w:rPr>
          <w:rFonts w:ascii="Times New Roman" w:eastAsia="MS Gothic" w:hAnsi="Times New Roman"/>
          <w:sz w:val="16"/>
          <w:szCs w:val="16"/>
        </w:rPr>
        <w:t>теле</w:t>
      </w:r>
      <w:r w:rsidR="006E7920" w:rsidRPr="0075656B">
        <w:rPr>
          <w:rFonts w:ascii="Times New Roman" w:eastAsia="MS Gothic" w:hAnsi="Times New Roman"/>
          <w:sz w:val="16"/>
          <w:szCs w:val="16"/>
        </w:rPr>
        <w:t xml:space="preserve">коммуникационной </w:t>
      </w:r>
      <w:r w:rsidRPr="0075656B">
        <w:rPr>
          <w:rFonts w:ascii="Times New Roman" w:eastAsia="MS Gothic" w:hAnsi="Times New Roman"/>
          <w:sz w:val="16"/>
          <w:szCs w:val="16"/>
        </w:rPr>
        <w:t xml:space="preserve">сети </w:t>
      </w:r>
      <w:r w:rsidR="006E7920" w:rsidRPr="0075656B">
        <w:rPr>
          <w:rFonts w:ascii="Times New Roman" w:eastAsia="MS Gothic" w:hAnsi="Times New Roman"/>
          <w:sz w:val="16"/>
          <w:szCs w:val="16"/>
        </w:rPr>
        <w:t>«</w:t>
      </w:r>
      <w:r w:rsidRPr="0075656B">
        <w:rPr>
          <w:rFonts w:ascii="Times New Roman" w:eastAsia="MS Gothic" w:hAnsi="Times New Roman"/>
          <w:sz w:val="16"/>
          <w:szCs w:val="16"/>
        </w:rPr>
        <w:t>Интернет</w:t>
      </w:r>
      <w:r w:rsidR="006E7920" w:rsidRPr="0075656B">
        <w:rPr>
          <w:rFonts w:ascii="Times New Roman" w:eastAsia="MS Gothic" w:hAnsi="Times New Roman"/>
          <w:sz w:val="16"/>
          <w:szCs w:val="16"/>
        </w:rPr>
        <w:t>», расположенной</w:t>
      </w:r>
      <w:r w:rsidRPr="0075656B">
        <w:rPr>
          <w:rFonts w:ascii="Times New Roman" w:eastAsia="MS Gothic" w:hAnsi="Times New Roman"/>
          <w:sz w:val="16"/>
          <w:szCs w:val="16"/>
        </w:rPr>
        <w:t xml:space="preserve"> по адресу: </w:t>
      </w:r>
      <w:r w:rsidR="00631A8F" w:rsidRPr="00902781">
        <w:rPr>
          <w:rFonts w:ascii="Times New Roman" w:eastAsia="MS Gothic" w:hAnsi="Times New Roman"/>
          <w:sz w:val="16"/>
          <w:szCs w:val="16"/>
        </w:rPr>
        <w:t>https://www. ikhorizon.ru</w:t>
      </w:r>
      <w:r w:rsidR="00973D4E" w:rsidRPr="00902781">
        <w:rPr>
          <w:rFonts w:ascii="Times New Roman" w:eastAsia="MS Gothic" w:hAnsi="Times New Roman"/>
          <w:sz w:val="16"/>
          <w:szCs w:val="16"/>
        </w:rPr>
        <w:t>/</w:t>
      </w:r>
      <w:r w:rsidRPr="00902781">
        <w:rPr>
          <w:rFonts w:ascii="Times New Roman" w:eastAsia="MS Gothic" w:hAnsi="Times New Roman"/>
          <w:sz w:val="16"/>
          <w:szCs w:val="16"/>
        </w:rPr>
        <w:t xml:space="preserve">. </w:t>
      </w:r>
      <w:r w:rsidRPr="0075656B">
        <w:rPr>
          <w:rFonts w:ascii="Times New Roman" w:eastAsia="MS Gothic" w:hAnsi="Times New Roman"/>
          <w:sz w:val="16"/>
          <w:szCs w:val="16"/>
        </w:rPr>
        <w:t xml:space="preserve">С даты вступления в силу Депозитарного договора, заключаемого на основании настоящего Заявления, принимаю на себя права и обязанности Депонента, как они описаны </w:t>
      </w:r>
      <w:r w:rsidRPr="00973BCF">
        <w:rPr>
          <w:rFonts w:ascii="Times New Roman" w:eastAsia="MS Gothic" w:hAnsi="Times New Roman"/>
          <w:sz w:val="16"/>
          <w:szCs w:val="16"/>
        </w:rPr>
        <w:t xml:space="preserve">в Приложении № </w:t>
      </w:r>
      <w:r w:rsidR="00C0115E" w:rsidRPr="00973BCF">
        <w:rPr>
          <w:rFonts w:ascii="Times New Roman" w:eastAsia="MS Gothic" w:hAnsi="Times New Roman"/>
          <w:sz w:val="16"/>
          <w:szCs w:val="16"/>
        </w:rPr>
        <w:t xml:space="preserve">1.2 </w:t>
      </w:r>
      <w:r w:rsidR="00236625" w:rsidRPr="00973BCF">
        <w:rPr>
          <w:rFonts w:ascii="Times New Roman" w:eastAsia="MS Gothic" w:hAnsi="Times New Roman"/>
          <w:sz w:val="16"/>
          <w:szCs w:val="16"/>
        </w:rPr>
        <w:t>к</w:t>
      </w:r>
      <w:r w:rsidR="00236625" w:rsidRPr="0075656B">
        <w:rPr>
          <w:rFonts w:ascii="Times New Roman" w:eastAsia="MS Gothic" w:hAnsi="Times New Roman"/>
          <w:sz w:val="16"/>
          <w:szCs w:val="16"/>
        </w:rPr>
        <w:t xml:space="preserve"> </w:t>
      </w:r>
      <w:r w:rsidR="00DF60CB" w:rsidRPr="0075656B">
        <w:rPr>
          <w:rFonts w:ascii="Times New Roman" w:eastAsia="MS Gothic" w:hAnsi="Times New Roman"/>
          <w:sz w:val="16"/>
          <w:szCs w:val="16"/>
        </w:rPr>
        <w:t>Условиям осуществления депозитарной деятельности</w:t>
      </w:r>
      <w:r w:rsidRPr="0075656B">
        <w:rPr>
          <w:rFonts w:ascii="Times New Roman" w:eastAsia="MS Gothic" w:hAnsi="Times New Roman"/>
          <w:sz w:val="16"/>
          <w:szCs w:val="16"/>
        </w:rPr>
        <w:t>.</w:t>
      </w:r>
    </w:p>
    <w:p w14:paraId="37453027" w14:textId="6F06241F" w:rsidR="00F717B1" w:rsidRPr="008A5BC4" w:rsidRDefault="00C750B3" w:rsidP="00890CF6">
      <w:pPr>
        <w:pStyle w:val="a4"/>
        <w:tabs>
          <w:tab w:val="left" w:pos="1134"/>
        </w:tabs>
        <w:spacing w:after="120" w:line="240" w:lineRule="auto"/>
        <w:ind w:left="709"/>
        <w:contextualSpacing w:val="0"/>
        <w:jc w:val="both"/>
        <w:rPr>
          <w:rFonts w:ascii="Times New Roman" w:eastAsia="MS Gothic" w:hAnsi="Times New Roman"/>
          <w:sz w:val="16"/>
          <w:szCs w:val="16"/>
        </w:rPr>
      </w:pPr>
      <w:r w:rsidRPr="0075656B">
        <w:rPr>
          <w:rFonts w:ascii="Times New Roman" w:eastAsia="MS Gothic" w:hAnsi="Times New Roman"/>
          <w:sz w:val="16"/>
          <w:szCs w:val="16"/>
        </w:rPr>
        <w:t>Подписанием настоящего Заявления подтверждаю, что</w:t>
      </w:r>
      <w:r w:rsidR="00890CF6">
        <w:rPr>
          <w:rFonts w:ascii="Times New Roman" w:eastAsia="MS Gothic" w:hAnsi="Times New Roman"/>
          <w:sz w:val="16"/>
          <w:szCs w:val="16"/>
        </w:rPr>
        <w:t xml:space="preserve"> </w:t>
      </w:r>
      <w:r w:rsidRPr="008A5BC4">
        <w:rPr>
          <w:rFonts w:ascii="Times New Roman" w:eastAsia="MS Gothic" w:hAnsi="Times New Roman"/>
          <w:sz w:val="16"/>
          <w:szCs w:val="16"/>
        </w:rPr>
        <w:t xml:space="preserve">с условиями </w:t>
      </w:r>
      <w:r w:rsidR="008B05B2" w:rsidRPr="008A5BC4">
        <w:rPr>
          <w:rFonts w:ascii="Times New Roman" w:eastAsia="MS Gothic" w:hAnsi="Times New Roman"/>
          <w:sz w:val="16"/>
          <w:szCs w:val="16"/>
        </w:rPr>
        <w:t xml:space="preserve">Депозитарного договора и </w:t>
      </w:r>
      <w:r w:rsidR="00DF60CB" w:rsidRPr="008A5BC4">
        <w:rPr>
          <w:rFonts w:ascii="Times New Roman" w:eastAsia="MS Gothic" w:hAnsi="Times New Roman"/>
          <w:sz w:val="16"/>
          <w:szCs w:val="16"/>
        </w:rPr>
        <w:t>Условиями осуществления депозитарной деятельности</w:t>
      </w:r>
      <w:r w:rsidRPr="008A5BC4">
        <w:rPr>
          <w:rFonts w:ascii="Times New Roman" w:eastAsia="MS Gothic" w:hAnsi="Times New Roman"/>
          <w:sz w:val="16"/>
          <w:szCs w:val="16"/>
        </w:rPr>
        <w:t xml:space="preserve"> ознакомлен и согласен, их содержание мне полностью понятно</w:t>
      </w:r>
      <w:r w:rsidR="00890CF6">
        <w:rPr>
          <w:rFonts w:ascii="Times New Roman" w:eastAsia="MS Gothic" w:hAnsi="Times New Roman"/>
          <w:sz w:val="16"/>
          <w:szCs w:val="16"/>
        </w:rPr>
        <w:t>.</w:t>
      </w:r>
    </w:p>
    <w:p w14:paraId="7455151E" w14:textId="77777777" w:rsidR="00900C13" w:rsidRPr="0075656B" w:rsidRDefault="00900C13" w:rsidP="00E11D62">
      <w:pPr>
        <w:pStyle w:val="a4"/>
        <w:tabs>
          <w:tab w:val="left" w:pos="1134"/>
        </w:tabs>
        <w:spacing w:after="120" w:line="240" w:lineRule="auto"/>
        <w:ind w:left="709"/>
        <w:contextualSpacing w:val="0"/>
        <w:jc w:val="both"/>
        <w:rPr>
          <w:rFonts w:ascii="Times New Roman" w:eastAsia="MS Gothic" w:hAnsi="Times New Roman"/>
          <w:sz w:val="16"/>
          <w:szCs w:val="16"/>
        </w:rPr>
      </w:pPr>
    </w:p>
    <w:tbl>
      <w:tblPr>
        <w:tblStyle w:val="af6"/>
        <w:tblW w:w="0" w:type="auto"/>
        <w:tblInd w:w="-5" w:type="dxa"/>
        <w:tblLook w:val="04A0" w:firstRow="1" w:lastRow="0" w:firstColumn="1" w:lastColumn="0" w:noHBand="0" w:noVBand="1"/>
      </w:tblPr>
      <w:tblGrid>
        <w:gridCol w:w="9350"/>
      </w:tblGrid>
      <w:tr w:rsidR="00F717B1" w:rsidRPr="00D27A8F" w14:paraId="25D26214" w14:textId="77777777" w:rsidTr="00E11D62">
        <w:tc>
          <w:tcPr>
            <w:tcW w:w="9350" w:type="dxa"/>
          </w:tcPr>
          <w:p w14:paraId="7F180EA4" w14:textId="77777777" w:rsidR="000B6B66" w:rsidRPr="0075656B" w:rsidRDefault="000B6B66" w:rsidP="00E11D62">
            <w:pPr>
              <w:tabs>
                <w:tab w:val="left" w:pos="1134"/>
              </w:tabs>
              <w:spacing w:after="120" w:line="240" w:lineRule="auto"/>
              <w:jc w:val="both"/>
              <w:rPr>
                <w:rFonts w:ascii="Times New Roman" w:eastAsia="MS Gothic" w:hAnsi="Times New Roman"/>
                <w:i/>
                <w:sz w:val="16"/>
                <w:szCs w:val="16"/>
              </w:rPr>
            </w:pPr>
            <w:r w:rsidRPr="0075656B">
              <w:rPr>
                <w:rFonts w:ascii="Times New Roman" w:eastAsia="MS Gothic" w:hAnsi="Times New Roman"/>
                <w:i/>
                <w:sz w:val="16"/>
                <w:szCs w:val="16"/>
              </w:rPr>
              <w:t>Блок предназначен лицам, не являющимся доверительным управляющим</w:t>
            </w:r>
          </w:p>
          <w:p w14:paraId="58F69566" w14:textId="77777777" w:rsidR="00864D10" w:rsidRPr="0075656B" w:rsidRDefault="00864D10" w:rsidP="00EA2B20">
            <w:pPr>
              <w:pStyle w:val="a4"/>
              <w:spacing w:after="0" w:line="240" w:lineRule="auto"/>
              <w:ind w:left="442"/>
              <w:contextualSpacing w:val="0"/>
              <w:jc w:val="both"/>
              <w:rPr>
                <w:rFonts w:ascii="Times New Roman" w:eastAsia="MS Gothic" w:hAnsi="Times New Roman"/>
                <w:i/>
                <w:sz w:val="16"/>
                <w:szCs w:val="16"/>
              </w:rPr>
            </w:pPr>
          </w:p>
          <w:p w14:paraId="06CE5295" w14:textId="77777777" w:rsidR="00FF0848" w:rsidRPr="0075656B" w:rsidRDefault="00F717B1" w:rsidP="00EA2B20">
            <w:pPr>
              <w:pStyle w:val="a4"/>
              <w:spacing w:after="0" w:line="240" w:lineRule="auto"/>
              <w:ind w:left="442"/>
              <w:contextualSpacing w:val="0"/>
              <w:jc w:val="both"/>
              <w:rPr>
                <w:rFonts w:ascii="Times New Roman" w:eastAsia="MS Gothic" w:hAnsi="Times New Roman"/>
                <w:i/>
                <w:sz w:val="16"/>
                <w:szCs w:val="16"/>
              </w:rPr>
            </w:pPr>
            <w:r w:rsidRPr="0075656B">
              <w:rPr>
                <w:rFonts w:ascii="Times New Roman" w:eastAsia="MS Gothic" w:hAnsi="Times New Roman"/>
                <w:sz w:val="16"/>
                <w:szCs w:val="16"/>
              </w:rPr>
              <w:t>Присоединяясь к Депозитарному договору, Депонент</w:t>
            </w:r>
          </w:p>
          <w:p w14:paraId="3442E084" w14:textId="77777777"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p>
          <w:p w14:paraId="04ABFF40" w14:textId="77777777"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r w:rsidRPr="0075656B">
              <w:rPr>
                <w:rFonts w:ascii="Times New Roman" w:eastAsia="MS Gothic" w:hAnsi="Times New Roman"/>
                <w:i/>
                <w:sz w:val="16"/>
                <w:szCs w:val="16"/>
              </w:rPr>
              <w:t>(далее допускается выбор обоих вариантов, при этом</w:t>
            </w:r>
          </w:p>
          <w:p w14:paraId="556BDED0" w14:textId="1D9F8B60"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r w:rsidRPr="0075656B">
              <w:rPr>
                <w:rFonts w:ascii="Times New Roman" w:eastAsia="MS Gothic" w:hAnsi="Times New Roman"/>
                <w:i/>
                <w:sz w:val="16"/>
                <w:szCs w:val="16"/>
              </w:rPr>
              <w:t xml:space="preserve">для случая одновременного присоединения к Депозитарному договору и Договору о </w:t>
            </w:r>
            <w:r w:rsidR="00957788" w:rsidRPr="0075656B">
              <w:rPr>
                <w:rFonts w:ascii="Times New Roman" w:eastAsia="MS Gothic" w:hAnsi="Times New Roman"/>
                <w:i/>
                <w:sz w:val="16"/>
                <w:szCs w:val="16"/>
              </w:rPr>
              <w:t>б</w:t>
            </w:r>
            <w:r w:rsidRPr="0075656B">
              <w:rPr>
                <w:rFonts w:ascii="Times New Roman" w:eastAsia="MS Gothic" w:hAnsi="Times New Roman"/>
                <w:i/>
                <w:sz w:val="16"/>
                <w:szCs w:val="16"/>
              </w:rPr>
              <w:t>рокерском обслуживании</w:t>
            </w:r>
            <w:r w:rsidR="00E0056A" w:rsidRPr="0075656B">
              <w:rPr>
                <w:rFonts w:ascii="Times New Roman" w:eastAsia="MS Gothic" w:hAnsi="Times New Roman"/>
                <w:i/>
                <w:sz w:val="16"/>
                <w:szCs w:val="16"/>
              </w:rPr>
              <w:t xml:space="preserve"> либо </w:t>
            </w:r>
            <w:r w:rsidR="005B2B33" w:rsidRPr="0075656B">
              <w:rPr>
                <w:rFonts w:ascii="Times New Roman" w:eastAsia="MS Gothic" w:hAnsi="Times New Roman"/>
                <w:i/>
                <w:sz w:val="16"/>
                <w:szCs w:val="16"/>
              </w:rPr>
              <w:t xml:space="preserve">в случае, когда </w:t>
            </w:r>
            <w:r w:rsidR="00E0056A" w:rsidRPr="0075656B">
              <w:rPr>
                <w:rFonts w:ascii="Times New Roman" w:eastAsia="MS Gothic" w:hAnsi="Times New Roman"/>
                <w:i/>
                <w:sz w:val="16"/>
                <w:szCs w:val="16"/>
              </w:rPr>
              <w:t xml:space="preserve">Депонент заключил с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00E0056A" w:rsidRPr="0075656B">
              <w:rPr>
                <w:rFonts w:ascii="Times New Roman" w:eastAsia="MS Gothic" w:hAnsi="Times New Roman"/>
                <w:i/>
                <w:sz w:val="16"/>
                <w:szCs w:val="16"/>
              </w:rPr>
              <w:t xml:space="preserve">Договор о </w:t>
            </w:r>
            <w:r w:rsidR="00957788" w:rsidRPr="0075656B">
              <w:rPr>
                <w:rFonts w:ascii="Times New Roman" w:eastAsia="MS Gothic" w:hAnsi="Times New Roman"/>
                <w:i/>
                <w:sz w:val="16"/>
                <w:szCs w:val="16"/>
              </w:rPr>
              <w:t>б</w:t>
            </w:r>
            <w:r w:rsidR="00E0056A" w:rsidRPr="0075656B">
              <w:rPr>
                <w:rFonts w:ascii="Times New Roman" w:eastAsia="MS Gothic" w:hAnsi="Times New Roman"/>
                <w:i/>
                <w:sz w:val="16"/>
                <w:szCs w:val="16"/>
              </w:rPr>
              <w:t xml:space="preserve">рокерском обслуживании ранее, </w:t>
            </w:r>
            <w:r w:rsidRPr="0075656B">
              <w:rPr>
                <w:rFonts w:ascii="Times New Roman" w:eastAsia="MS Gothic" w:hAnsi="Times New Roman"/>
                <w:i/>
                <w:sz w:val="16"/>
                <w:szCs w:val="16"/>
              </w:rPr>
              <w:t>рекомендуется поставить отметку о выборе обоих вариантов;</w:t>
            </w:r>
          </w:p>
          <w:p w14:paraId="264FC3FB" w14:textId="77777777"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p>
          <w:p w14:paraId="5D1E35AB" w14:textId="77777777"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r w:rsidRPr="0075656B">
              <w:rPr>
                <w:rFonts w:ascii="Times New Roman" w:eastAsia="MS Gothic" w:hAnsi="Times New Roman"/>
                <w:i/>
                <w:sz w:val="16"/>
                <w:szCs w:val="16"/>
              </w:rPr>
              <w:t>для случая присоединения только к Депозитарному договору рекомендуется поставить отметку о выборе только второго варианта)</w:t>
            </w:r>
          </w:p>
          <w:p w14:paraId="6AFDD7E1" w14:textId="77777777" w:rsidR="00FF0848" w:rsidRPr="0075656B" w:rsidRDefault="00FF0848" w:rsidP="003A767D">
            <w:pPr>
              <w:pStyle w:val="a4"/>
              <w:spacing w:after="0" w:line="240" w:lineRule="auto"/>
              <w:ind w:left="442"/>
              <w:contextualSpacing w:val="0"/>
              <w:jc w:val="both"/>
              <w:rPr>
                <w:rFonts w:ascii="Times New Roman" w:eastAsia="MS Gothic" w:hAnsi="Times New Roman"/>
                <w:i/>
                <w:sz w:val="16"/>
                <w:szCs w:val="16"/>
              </w:rPr>
            </w:pPr>
          </w:p>
          <w:p w14:paraId="274FCF1F" w14:textId="77777777" w:rsidR="00FF0848" w:rsidRPr="0075656B" w:rsidRDefault="00FF0848" w:rsidP="00FF0848">
            <w:pPr>
              <w:pStyle w:val="a4"/>
              <w:tabs>
                <w:tab w:val="left" w:pos="459"/>
              </w:tabs>
              <w:spacing w:after="120" w:line="240" w:lineRule="auto"/>
              <w:ind w:left="743" w:hanging="284"/>
              <w:contextualSpacing w:val="0"/>
              <w:jc w:val="both"/>
              <w:rPr>
                <w:rFonts w:ascii="Times New Roman" w:eastAsia="MS Gothic" w:hAnsi="Times New Roman"/>
                <w:sz w:val="16"/>
                <w:szCs w:val="16"/>
              </w:rPr>
            </w:pPr>
            <w:r w:rsidRPr="0075656B">
              <w:rPr>
                <w:rFonts w:ascii="Times New Roman" w:eastAsia="MS Gothic" w:hAnsi="Times New Roman"/>
                <w:sz w:val="16"/>
                <w:szCs w:val="16"/>
              </w:rPr>
              <w:t>Вариант 1:</w:t>
            </w:r>
          </w:p>
          <w:p w14:paraId="3BC99FD2" w14:textId="52BEF3FF" w:rsidR="00232DB2" w:rsidRPr="0075656B" w:rsidRDefault="00802E57" w:rsidP="00232DB2">
            <w:pPr>
              <w:pStyle w:val="a4"/>
              <w:tabs>
                <w:tab w:val="left" w:pos="1134"/>
              </w:tabs>
              <w:spacing w:after="120" w:line="240" w:lineRule="auto"/>
              <w:ind w:left="442"/>
              <w:contextualSpacing w:val="0"/>
              <w:jc w:val="both"/>
              <w:rPr>
                <w:rFonts w:ascii="Times New Roman" w:eastAsia="MS Gothic" w:hAnsi="Times New Roman"/>
                <w:sz w:val="16"/>
                <w:szCs w:val="16"/>
              </w:rPr>
            </w:pPr>
            <w:sdt>
              <w:sdtPr>
                <w:rPr>
                  <w:rFonts w:ascii="Times New Roman" w:eastAsia="MS Gothic" w:hAnsi="Times New Roman"/>
                  <w:sz w:val="20"/>
                  <w:szCs w:val="20"/>
                </w:rPr>
                <w:id w:val="2059969061"/>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r w:rsidR="00806534" w:rsidRPr="0075656B" w:rsidDel="00806534">
              <w:rPr>
                <w:rFonts w:ascii="Times New Roman" w:eastAsia="MS Gothic" w:hAnsi="Times New Roman"/>
                <w:sz w:val="16"/>
                <w:szCs w:val="16"/>
              </w:rPr>
              <w:t xml:space="preserve"> </w:t>
            </w:r>
            <w:r w:rsidR="00FF0848" w:rsidRPr="0075656B">
              <w:rPr>
                <w:rFonts w:ascii="Times New Roman" w:eastAsia="MS Gothic" w:hAnsi="Times New Roman"/>
                <w:sz w:val="16"/>
                <w:szCs w:val="16"/>
              </w:rPr>
              <w:t xml:space="preserve">дает </w:t>
            </w:r>
            <w:r w:rsidR="007A77D2">
              <w:rPr>
                <w:rFonts w:ascii="Times New Roman" w:eastAsia="MS Gothic" w:hAnsi="Times New Roman"/>
                <w:sz w:val="16"/>
                <w:szCs w:val="16"/>
              </w:rPr>
              <w:t>Акционерному обществу «Инвестиционная компания «Горизонт»</w:t>
            </w:r>
            <w:r w:rsidR="007A77D2" w:rsidRPr="0075656B">
              <w:rPr>
                <w:rFonts w:ascii="Times New Roman" w:eastAsia="MS Gothic" w:hAnsi="Times New Roman"/>
                <w:sz w:val="16"/>
                <w:szCs w:val="16"/>
              </w:rPr>
              <w:t xml:space="preserve"> </w:t>
            </w:r>
            <w:r w:rsidR="002C7C38" w:rsidRPr="0075656B">
              <w:rPr>
                <w:rFonts w:ascii="Times New Roman" w:eastAsia="MS Gothic" w:hAnsi="Times New Roman"/>
                <w:sz w:val="16"/>
                <w:szCs w:val="16"/>
              </w:rPr>
              <w:t>как депозитарию (далее - Депозитарий)</w:t>
            </w:r>
            <w:r w:rsidR="00FF0848" w:rsidRPr="0075656B">
              <w:rPr>
                <w:rFonts w:ascii="Times New Roman" w:eastAsia="MS Gothic" w:hAnsi="Times New Roman"/>
                <w:sz w:val="16"/>
                <w:szCs w:val="16"/>
              </w:rPr>
              <w:t xml:space="preserve"> поручение на открытие торгового счета депо владельца</w:t>
            </w:r>
            <w:r w:rsidR="002B5B62" w:rsidRPr="0075656B">
              <w:rPr>
                <w:rFonts w:ascii="Times New Roman" w:eastAsia="MS Gothic" w:hAnsi="Times New Roman"/>
                <w:sz w:val="16"/>
                <w:szCs w:val="16"/>
              </w:rPr>
              <w:t xml:space="preserve"> </w:t>
            </w:r>
            <w:r w:rsidR="006D40D7" w:rsidRPr="0075656B">
              <w:rPr>
                <w:rFonts w:ascii="Times New Roman" w:eastAsia="MS Gothic" w:hAnsi="Times New Roman"/>
                <w:sz w:val="16"/>
                <w:szCs w:val="16"/>
              </w:rPr>
              <w:t xml:space="preserve">для клиринга </w:t>
            </w:r>
            <w:r w:rsidR="002F12EE" w:rsidRPr="0075656B">
              <w:rPr>
                <w:rFonts w:ascii="Times New Roman" w:eastAsia="MS Gothic" w:hAnsi="Times New Roman"/>
                <w:sz w:val="16"/>
                <w:szCs w:val="16"/>
              </w:rPr>
              <w:t xml:space="preserve">в соответствующей выбранному Клиентом организатору торговли (пункт 2 раздел </w:t>
            </w:r>
            <w:r w:rsidR="002F12EE" w:rsidRPr="0075656B">
              <w:rPr>
                <w:rFonts w:ascii="Times New Roman" w:eastAsia="MS Gothic" w:hAnsi="Times New Roman"/>
                <w:sz w:val="16"/>
                <w:szCs w:val="16"/>
                <w:lang w:val="en-US"/>
              </w:rPr>
              <w:t>I</w:t>
            </w:r>
            <w:r w:rsidR="002F12EE" w:rsidRPr="0075656B">
              <w:rPr>
                <w:rFonts w:ascii="Times New Roman" w:eastAsia="MS Gothic" w:hAnsi="Times New Roman"/>
                <w:sz w:val="16"/>
                <w:szCs w:val="16"/>
              </w:rPr>
              <w:t xml:space="preserve"> Заявления) клиринговой организации (</w:t>
            </w:r>
            <w:r w:rsidR="006D40D7" w:rsidRPr="0075656B">
              <w:rPr>
                <w:rFonts w:ascii="Times New Roman" w:eastAsia="MS Gothic" w:hAnsi="Times New Roman"/>
                <w:sz w:val="16"/>
                <w:szCs w:val="16"/>
              </w:rPr>
              <w:t xml:space="preserve">для клиринга </w:t>
            </w:r>
            <w:r w:rsidR="00D203B8" w:rsidRPr="0075656B">
              <w:rPr>
                <w:rFonts w:ascii="Times New Roman" w:eastAsia="MS Gothic" w:hAnsi="Times New Roman"/>
                <w:sz w:val="16"/>
                <w:szCs w:val="16"/>
              </w:rPr>
              <w:t xml:space="preserve">обязательств </w:t>
            </w:r>
            <w:r w:rsidR="006D40D7" w:rsidRPr="0075656B">
              <w:rPr>
                <w:rFonts w:ascii="Times New Roman" w:eastAsia="MS Gothic" w:hAnsi="Times New Roman"/>
                <w:sz w:val="16"/>
                <w:szCs w:val="16"/>
              </w:rPr>
              <w:t>в Н</w:t>
            </w:r>
            <w:r w:rsidR="002F12EE" w:rsidRPr="0075656B">
              <w:rPr>
                <w:rFonts w:ascii="Times New Roman" w:eastAsia="MS Gothic" w:hAnsi="Times New Roman"/>
                <w:sz w:val="16"/>
                <w:szCs w:val="16"/>
              </w:rPr>
              <w:t xml:space="preserve">ебанковской кредитной организации-центрального контрагента «Национальный Клиринговый Центр» (Акционерное общество) (далее - </w:t>
            </w:r>
            <w:r w:rsidR="00F40856" w:rsidRPr="0075656B">
              <w:rPr>
                <w:rFonts w:ascii="Times New Roman" w:eastAsia="MS Gothic" w:hAnsi="Times New Roman"/>
                <w:sz w:val="16"/>
                <w:szCs w:val="16"/>
              </w:rPr>
              <w:t>НКО НКЦ (АО)</w:t>
            </w:r>
            <w:r w:rsidR="002F12EE" w:rsidRPr="0075656B">
              <w:rPr>
                <w:rFonts w:ascii="Times New Roman" w:eastAsia="MS Gothic" w:hAnsi="Times New Roman"/>
                <w:sz w:val="16"/>
                <w:szCs w:val="16"/>
              </w:rPr>
              <w:t xml:space="preserve">) </w:t>
            </w:r>
            <w:r w:rsidR="006D40D7" w:rsidRPr="0075656B">
              <w:rPr>
                <w:rFonts w:ascii="Times New Roman" w:eastAsia="MS Gothic" w:hAnsi="Times New Roman"/>
                <w:sz w:val="16"/>
                <w:szCs w:val="16"/>
              </w:rPr>
              <w:t xml:space="preserve">- </w:t>
            </w:r>
            <w:r w:rsidR="002F12EE" w:rsidRPr="0075656B">
              <w:rPr>
                <w:rFonts w:ascii="Times New Roman" w:eastAsia="MS Gothic" w:hAnsi="Times New Roman"/>
                <w:sz w:val="16"/>
                <w:szCs w:val="16"/>
              </w:rPr>
              <w:t>в отношении сделок на ПАО Московская Биржа</w:t>
            </w:r>
            <w:r w:rsidR="00FF0848" w:rsidRPr="0075656B">
              <w:rPr>
                <w:rFonts w:ascii="Times New Roman" w:eastAsia="MS Gothic" w:hAnsi="Times New Roman"/>
                <w:sz w:val="16"/>
                <w:szCs w:val="16"/>
              </w:rPr>
              <w:t>. Такое поручени</w:t>
            </w:r>
            <w:r w:rsidR="00E15929" w:rsidRPr="0075656B">
              <w:rPr>
                <w:rFonts w:ascii="Times New Roman" w:eastAsia="MS Gothic" w:hAnsi="Times New Roman"/>
                <w:sz w:val="16"/>
                <w:szCs w:val="16"/>
              </w:rPr>
              <w:t>е</w:t>
            </w:r>
            <w:r w:rsidR="00FF0848" w:rsidRPr="0075656B">
              <w:rPr>
                <w:rFonts w:ascii="Times New Roman" w:eastAsia="MS Gothic" w:hAnsi="Times New Roman"/>
                <w:sz w:val="16"/>
                <w:szCs w:val="16"/>
              </w:rPr>
              <w:t xml:space="preserve"> исполняется Депозитарием в дату направления Депоненту уведомления о заключении с ним Депозитарного договора.</w:t>
            </w:r>
          </w:p>
          <w:p w14:paraId="410500AC" w14:textId="666585D9" w:rsidR="00232DB2" w:rsidRPr="0075656B" w:rsidRDefault="00232DB2" w:rsidP="00232DB2">
            <w:pPr>
              <w:pStyle w:val="a4"/>
              <w:tabs>
                <w:tab w:val="left" w:pos="1134"/>
              </w:tabs>
              <w:spacing w:after="120" w:line="240" w:lineRule="auto"/>
              <w:ind w:left="442"/>
              <w:contextualSpacing w:val="0"/>
              <w:jc w:val="both"/>
              <w:rPr>
                <w:rFonts w:ascii="Times New Roman" w:eastAsia="MS Gothic" w:hAnsi="Times New Roman"/>
                <w:sz w:val="16"/>
                <w:szCs w:val="16"/>
              </w:rPr>
            </w:pPr>
            <w:r w:rsidRPr="0075656B">
              <w:rPr>
                <w:rFonts w:ascii="Times New Roman" w:eastAsia="MS Gothic" w:hAnsi="Times New Roman"/>
                <w:sz w:val="16"/>
                <w:szCs w:val="16"/>
              </w:rPr>
              <w:t>Отметка о выборе Варианта 1 означает, что операции по соответствующему торговому счету депо владельца будут осуществляться, в том числе по поручению или с согласия соответственно НКО НКЦ (АО) - в отношении торгового счета депо владельца, открываемого для клиринга обязательств по сделкам, заключенным на торгах ПАО Московская Биржа).</w:t>
            </w:r>
          </w:p>
          <w:p w14:paraId="77F7A7F7" w14:textId="74B47194" w:rsidR="00232DB2" w:rsidRPr="0075656B" w:rsidRDefault="00232DB2" w:rsidP="00232DB2">
            <w:pPr>
              <w:pStyle w:val="a4"/>
              <w:tabs>
                <w:tab w:val="left" w:pos="1134"/>
              </w:tabs>
              <w:spacing w:after="120" w:line="240" w:lineRule="auto"/>
              <w:ind w:left="442"/>
              <w:contextualSpacing w:val="0"/>
              <w:jc w:val="both"/>
              <w:rPr>
                <w:rFonts w:ascii="Times New Roman" w:eastAsia="MS Gothic" w:hAnsi="Times New Roman"/>
                <w:sz w:val="16"/>
                <w:szCs w:val="16"/>
              </w:rPr>
            </w:pPr>
            <w:r w:rsidRPr="0075656B">
              <w:rPr>
                <w:rFonts w:ascii="Times New Roman" w:eastAsia="MS Gothic" w:hAnsi="Times New Roman"/>
                <w:sz w:val="16"/>
                <w:szCs w:val="16"/>
              </w:rPr>
              <w:t>В случае если клиринговая организация, осуществляющая клиринг по сделкам, заключенным на торгах ПАО Московская Биржа</w:t>
            </w:r>
            <w:r w:rsidR="000A39FA"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или </w:t>
            </w:r>
            <w:r w:rsidR="000A39FA" w:rsidRPr="0075656B">
              <w:rPr>
                <w:rFonts w:ascii="Times New Roman" w:eastAsia="MS Gothic" w:hAnsi="Times New Roman"/>
                <w:sz w:val="16"/>
                <w:szCs w:val="16"/>
              </w:rPr>
              <w:t>ее</w:t>
            </w:r>
            <w:r w:rsidRPr="0075656B">
              <w:rPr>
                <w:rFonts w:ascii="Times New Roman" w:eastAsia="MS Gothic" w:hAnsi="Times New Roman"/>
                <w:sz w:val="16"/>
                <w:szCs w:val="16"/>
              </w:rPr>
              <w:t xml:space="preserve"> правопреемники поменяется, то с момента соответствующего изменения операции по соответствующему торговому счету депо владельца будут осуществляться по поручению или с согласия новой клиринговой организации.</w:t>
            </w:r>
          </w:p>
          <w:p w14:paraId="72F394A1" w14:textId="02D242DF" w:rsidR="0080710A" w:rsidRPr="0075656B" w:rsidRDefault="00802E57" w:rsidP="0080710A">
            <w:pPr>
              <w:pStyle w:val="a4"/>
              <w:tabs>
                <w:tab w:val="left" w:pos="459"/>
              </w:tabs>
              <w:spacing w:after="120" w:line="240" w:lineRule="auto"/>
              <w:ind w:left="1026" w:hanging="284"/>
              <w:contextualSpacing w:val="0"/>
              <w:jc w:val="both"/>
              <w:rPr>
                <w:rFonts w:ascii="Times New Roman" w:eastAsia="MS Gothic" w:hAnsi="Times New Roman"/>
                <w:sz w:val="16"/>
                <w:szCs w:val="16"/>
              </w:rPr>
            </w:pPr>
            <w:sdt>
              <w:sdtPr>
                <w:rPr>
                  <w:rFonts w:ascii="Times New Roman" w:eastAsia="MS Gothic" w:hAnsi="Times New Roman"/>
                  <w:sz w:val="20"/>
                  <w:szCs w:val="20"/>
                </w:rPr>
                <w:id w:val="-1998490416"/>
                <w14:checkbox>
                  <w14:checked w14:val="0"/>
                  <w14:checkedState w14:val="2612" w14:font="MS Gothic"/>
                  <w14:uncheckedState w14:val="2610" w14:font="MS Gothic"/>
                </w14:checkbox>
              </w:sdtPr>
              <w:sdtEndPr/>
              <w:sdtContent>
                <w:r w:rsidR="0080710A" w:rsidRPr="0075656B">
                  <w:rPr>
                    <w:rFonts w:ascii="Segoe UI Symbol" w:eastAsia="MS Gothic" w:hAnsi="Segoe UI Symbol" w:cs="Segoe UI Symbol"/>
                    <w:sz w:val="20"/>
                    <w:szCs w:val="20"/>
                  </w:rPr>
                  <w:t>☐</w:t>
                </w:r>
              </w:sdtContent>
            </w:sdt>
            <w:r w:rsidR="0080710A" w:rsidRPr="0075656B" w:rsidDel="00806534">
              <w:rPr>
                <w:rFonts w:ascii="Times New Roman" w:eastAsia="MS Gothic" w:hAnsi="Times New Roman"/>
                <w:sz w:val="16"/>
                <w:szCs w:val="16"/>
              </w:rPr>
              <w:t xml:space="preserve"> </w:t>
            </w:r>
            <w:r w:rsidR="0080710A" w:rsidRPr="0075656B">
              <w:rPr>
                <w:rFonts w:ascii="Times New Roman" w:eastAsia="MS Gothic" w:hAnsi="Times New Roman"/>
                <w:sz w:val="16"/>
                <w:szCs w:val="16"/>
              </w:rPr>
              <w:t xml:space="preserve">указанный счет не предназначен для использования в процессе оказания </w:t>
            </w:r>
            <w:r w:rsidR="000D0CD7" w:rsidRPr="0075656B">
              <w:rPr>
                <w:rFonts w:ascii="Times New Roman" w:eastAsia="MS Gothic" w:hAnsi="Times New Roman"/>
                <w:sz w:val="16"/>
                <w:szCs w:val="16"/>
              </w:rPr>
              <w:t>Депоненту</w:t>
            </w:r>
            <w:r w:rsidR="0080710A" w:rsidRPr="0075656B">
              <w:rPr>
                <w:rFonts w:ascii="Times New Roman" w:eastAsia="MS Gothic" w:hAnsi="Times New Roman"/>
                <w:sz w:val="16"/>
                <w:szCs w:val="16"/>
              </w:rPr>
              <w:t xml:space="preserve"> со стороны </w:t>
            </w:r>
            <w:r w:rsidR="006B136A">
              <w:rPr>
                <w:rFonts w:ascii="Times New Roman" w:eastAsia="MS Gothic" w:hAnsi="Times New Roman"/>
                <w:sz w:val="16"/>
                <w:szCs w:val="16"/>
              </w:rPr>
              <w:t>Акционерного общества «Инвестиционная компания «Горизонт»</w:t>
            </w:r>
            <w:r w:rsidR="0080710A" w:rsidRPr="0075656B">
              <w:rPr>
                <w:rFonts w:ascii="Times New Roman" w:eastAsia="MS Gothic" w:hAnsi="Times New Roman"/>
                <w:sz w:val="16"/>
                <w:szCs w:val="16"/>
              </w:rPr>
              <w:t xml:space="preserve"> брокерских (операции по такому счету не проводятся на основании документов, полученных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0080710A" w:rsidRPr="0075656B">
              <w:rPr>
                <w:rFonts w:ascii="Times New Roman" w:eastAsia="MS Gothic" w:hAnsi="Times New Roman"/>
                <w:sz w:val="16"/>
                <w:szCs w:val="16"/>
              </w:rPr>
              <w:t>в рамках оказания Депоненту брокерских услуг)</w:t>
            </w:r>
          </w:p>
          <w:p w14:paraId="0599E5E5" w14:textId="03FBDB64" w:rsidR="00032473" w:rsidRPr="0075656B" w:rsidRDefault="00FA5169">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За исключением случая, когда Заявитель указал, что открытый на </w:t>
            </w:r>
            <w:r w:rsidR="00756CC2" w:rsidRPr="0075656B">
              <w:rPr>
                <w:rFonts w:ascii="Times New Roman" w:eastAsia="MS Gothic" w:hAnsi="Times New Roman"/>
                <w:sz w:val="16"/>
                <w:szCs w:val="16"/>
              </w:rPr>
              <w:t>основании настоящего З</w:t>
            </w:r>
            <w:r w:rsidRPr="0075656B">
              <w:rPr>
                <w:rFonts w:ascii="Times New Roman" w:eastAsia="MS Gothic" w:hAnsi="Times New Roman"/>
                <w:sz w:val="16"/>
                <w:szCs w:val="16"/>
              </w:rPr>
              <w:t xml:space="preserve">аявления торговый счет депо владельца не предназначен для использования в процессе оказания </w:t>
            </w:r>
            <w:r w:rsidR="00032473" w:rsidRPr="0075656B">
              <w:rPr>
                <w:rFonts w:ascii="Times New Roman" w:eastAsia="MS Gothic" w:hAnsi="Times New Roman"/>
                <w:sz w:val="16"/>
                <w:szCs w:val="16"/>
              </w:rPr>
              <w:t>З</w:t>
            </w:r>
            <w:r w:rsidRPr="0075656B">
              <w:rPr>
                <w:rFonts w:ascii="Times New Roman" w:eastAsia="MS Gothic" w:hAnsi="Times New Roman"/>
                <w:sz w:val="16"/>
                <w:szCs w:val="16"/>
              </w:rPr>
              <w:t xml:space="preserve">аявителю со стороны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брокерских услуг,</w:t>
            </w:r>
          </w:p>
          <w:p w14:paraId="7C1529FA" w14:textId="77777777" w:rsidR="00032473" w:rsidRPr="0075656B" w:rsidRDefault="00032473">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но при условии, что ниже отсутствует указание Заявителя использовать открытый на основании настоящего Заявления торговый счет депо</w:t>
            </w:r>
            <w:r w:rsidR="00ED50A6" w:rsidRPr="0075656B">
              <w:rPr>
                <w:rFonts w:ascii="Times New Roman" w:eastAsia="MS Gothic" w:hAnsi="Times New Roman"/>
                <w:sz w:val="16"/>
                <w:szCs w:val="16"/>
              </w:rPr>
              <w:t xml:space="preserve"> владельца</w:t>
            </w:r>
            <w:r w:rsidRPr="0075656B">
              <w:rPr>
                <w:rFonts w:ascii="Times New Roman" w:eastAsia="MS Gothic" w:hAnsi="Times New Roman"/>
                <w:sz w:val="16"/>
                <w:szCs w:val="16"/>
              </w:rPr>
              <w:t xml:space="preserve"> в рамках оказания Депоненту брокерских услуг на основании иного Договора о Брокерском обслуживании,</w:t>
            </w:r>
          </w:p>
          <w:p w14:paraId="52F846F8" w14:textId="77777777" w:rsidR="00032473" w:rsidRPr="0075656B" w:rsidRDefault="00032473">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присоединяясь к Депозитарному договору, Заявитель соглашается с тем, что Депозитарий использует в качестве оснований для совершения Депозитарных операций по открытому на основании настоящего Заявления торговому счету депо владельца документы (в том числе поручения), полученные от Депонента в рамках оказания Депоненту брокерских услуг на основании Договора о Брокерском обслуживании, заключенного на основании Заявления о присоединении к Договору о Брокерском обслуживании, указанного в разделе </w:t>
            </w:r>
            <w:r w:rsidRPr="0075656B">
              <w:rPr>
                <w:rFonts w:ascii="Times New Roman" w:eastAsia="MS Gothic" w:hAnsi="Times New Roman"/>
                <w:sz w:val="16"/>
                <w:szCs w:val="16"/>
                <w:lang w:val="en-US"/>
              </w:rPr>
              <w:t>I</w:t>
            </w:r>
            <w:r w:rsidRPr="0075656B">
              <w:rPr>
                <w:rFonts w:ascii="Times New Roman" w:eastAsia="MS Gothic" w:hAnsi="Times New Roman"/>
                <w:sz w:val="16"/>
                <w:szCs w:val="16"/>
              </w:rPr>
              <w:t xml:space="preserve"> «Присоединение к Договору о брокерском обслуживании» настоящего Заявления.</w:t>
            </w:r>
          </w:p>
          <w:p w14:paraId="19C76858" w14:textId="7A9344D6" w:rsidR="00232DB2" w:rsidRPr="0075656B" w:rsidRDefault="00802E57" w:rsidP="00EA2B20">
            <w:pPr>
              <w:pStyle w:val="a4"/>
              <w:tabs>
                <w:tab w:val="left" w:pos="1134"/>
              </w:tabs>
              <w:spacing w:after="120" w:line="240" w:lineRule="auto"/>
              <w:ind w:left="442"/>
              <w:contextualSpacing w:val="0"/>
              <w:jc w:val="both"/>
              <w:rPr>
                <w:rFonts w:ascii="Times New Roman" w:eastAsia="MS Gothic" w:hAnsi="Times New Roman"/>
                <w:sz w:val="16"/>
                <w:szCs w:val="16"/>
              </w:rPr>
            </w:pPr>
            <w:sdt>
              <w:sdtPr>
                <w:rPr>
                  <w:rFonts w:ascii="Times New Roman" w:eastAsia="MS Gothic" w:hAnsi="Times New Roman"/>
                  <w:sz w:val="16"/>
                  <w:szCs w:val="16"/>
                </w:rPr>
                <w:id w:val="1919899453"/>
                <w14:checkbox>
                  <w14:checked w14:val="0"/>
                  <w14:checkedState w14:val="2612" w14:font="MS Gothic"/>
                  <w14:uncheckedState w14:val="2610" w14:font="MS Gothic"/>
                </w14:checkbox>
              </w:sdtPr>
              <w:sdtEndPr/>
              <w:sdtContent>
                <w:r w:rsidR="00232DB2" w:rsidRPr="0075656B">
                  <w:rPr>
                    <w:rFonts w:ascii="Segoe UI Symbol" w:eastAsia="MS Gothic" w:hAnsi="Segoe UI Symbol" w:cs="Segoe UI Symbol"/>
                    <w:sz w:val="16"/>
                    <w:szCs w:val="16"/>
                  </w:rPr>
                  <w:t>☐</w:t>
                </w:r>
              </w:sdtContent>
            </w:sdt>
            <w:r w:rsidR="00232DB2" w:rsidRPr="0075656B">
              <w:rPr>
                <w:rFonts w:ascii="Times New Roman" w:eastAsia="MS Gothic" w:hAnsi="Times New Roman"/>
                <w:sz w:val="16"/>
                <w:szCs w:val="16"/>
              </w:rPr>
              <w:t xml:space="preserve"> </w:t>
            </w:r>
            <w:r w:rsidR="00032473" w:rsidRPr="0075656B">
              <w:rPr>
                <w:rFonts w:ascii="Times New Roman" w:eastAsia="MS Gothic" w:hAnsi="Times New Roman"/>
                <w:sz w:val="16"/>
                <w:szCs w:val="16"/>
              </w:rPr>
              <w:t xml:space="preserve">Настоящим даю указание </w:t>
            </w:r>
            <w:r w:rsidR="007A77D2">
              <w:rPr>
                <w:rFonts w:ascii="Times New Roman" w:eastAsia="MS Gothic" w:hAnsi="Times New Roman"/>
                <w:sz w:val="16"/>
                <w:szCs w:val="16"/>
              </w:rPr>
              <w:t>Акционерно</w:t>
            </w:r>
            <w:r w:rsidR="00AD580D">
              <w:rPr>
                <w:rFonts w:ascii="Times New Roman" w:eastAsia="MS Gothic" w:hAnsi="Times New Roman"/>
                <w:sz w:val="16"/>
                <w:szCs w:val="16"/>
              </w:rPr>
              <w:t>му</w:t>
            </w:r>
            <w:r w:rsidR="007A77D2">
              <w:rPr>
                <w:rFonts w:ascii="Times New Roman" w:eastAsia="MS Gothic" w:hAnsi="Times New Roman"/>
                <w:sz w:val="16"/>
                <w:szCs w:val="16"/>
              </w:rPr>
              <w:t xml:space="preserve"> обществ</w:t>
            </w:r>
            <w:r w:rsidR="00AD580D">
              <w:rPr>
                <w:rFonts w:ascii="Times New Roman" w:eastAsia="MS Gothic" w:hAnsi="Times New Roman"/>
                <w:sz w:val="16"/>
                <w:szCs w:val="16"/>
              </w:rPr>
              <w:t>у</w:t>
            </w:r>
            <w:r w:rsidR="007A77D2">
              <w:rPr>
                <w:rFonts w:ascii="Times New Roman" w:eastAsia="MS Gothic" w:hAnsi="Times New Roman"/>
                <w:sz w:val="16"/>
                <w:szCs w:val="16"/>
              </w:rPr>
              <w:t xml:space="preserve"> «Инвестиционная компания «Горизонт»</w:t>
            </w:r>
            <w:r w:rsidR="007A77D2" w:rsidRPr="0075656B">
              <w:rPr>
                <w:rFonts w:ascii="Times New Roman" w:eastAsia="MS Gothic" w:hAnsi="Times New Roman"/>
                <w:sz w:val="16"/>
                <w:szCs w:val="16"/>
              </w:rPr>
              <w:t xml:space="preserve"> </w:t>
            </w:r>
            <w:r w:rsidR="00032473" w:rsidRPr="0075656B">
              <w:rPr>
                <w:rFonts w:ascii="Times New Roman" w:eastAsia="MS Gothic" w:hAnsi="Times New Roman"/>
                <w:sz w:val="16"/>
                <w:szCs w:val="16"/>
              </w:rPr>
              <w:t xml:space="preserve">использовать в качестве оснований для совершения Депозитарных операций по открытому на основании настоящего Заявления торговому счету депо владельца документы (в том числе поручения), полученные от Депонента в рамках оказания Депоненту брокерских услуг на основании </w:t>
            </w:r>
            <w:r w:rsidR="00810415" w:rsidRPr="0075656B">
              <w:rPr>
                <w:rFonts w:ascii="Times New Roman" w:eastAsia="MS Gothic" w:hAnsi="Times New Roman"/>
                <w:sz w:val="16"/>
                <w:szCs w:val="16"/>
              </w:rPr>
              <w:t>Договора</w:t>
            </w:r>
            <w:r w:rsidR="00232DB2" w:rsidRPr="0075656B">
              <w:rPr>
                <w:rFonts w:ascii="Times New Roman" w:eastAsia="MS Gothic" w:hAnsi="Times New Roman"/>
                <w:sz w:val="16"/>
                <w:szCs w:val="16"/>
              </w:rPr>
              <w:t xml:space="preserve"> </w:t>
            </w:r>
            <w:r w:rsidR="00C06189" w:rsidRPr="0075656B">
              <w:rPr>
                <w:rFonts w:ascii="Times New Roman" w:eastAsia="MS Gothic" w:hAnsi="Times New Roman"/>
                <w:sz w:val="16"/>
                <w:szCs w:val="16"/>
              </w:rPr>
              <w:t xml:space="preserve">о </w:t>
            </w:r>
            <w:r w:rsidR="00C2500A" w:rsidRPr="0075656B">
              <w:rPr>
                <w:rFonts w:ascii="Times New Roman" w:eastAsia="MS Gothic" w:hAnsi="Times New Roman"/>
                <w:sz w:val="16"/>
                <w:szCs w:val="16"/>
              </w:rPr>
              <w:t>б</w:t>
            </w:r>
            <w:r w:rsidR="00232DB2" w:rsidRPr="0075656B">
              <w:rPr>
                <w:rFonts w:ascii="Times New Roman" w:eastAsia="MS Gothic" w:hAnsi="Times New Roman"/>
                <w:sz w:val="16"/>
                <w:szCs w:val="16"/>
              </w:rPr>
              <w:t xml:space="preserve">рокерском обслуживании № </w:t>
            </w:r>
            <w:r w:rsidR="00232DB2" w:rsidRPr="0075656B">
              <w:rPr>
                <w:rFonts w:ascii="Times New Roman" w:eastAsia="MS Gothic" w:hAnsi="Times New Roman"/>
                <w:sz w:val="16"/>
                <w:szCs w:val="16"/>
              </w:rPr>
              <w:fldChar w:fldCharType="begin">
                <w:ffData>
                  <w:name w:val="ТекстовоеПоле1"/>
                  <w:enabled/>
                  <w:calcOnExit w:val="0"/>
                  <w:textInput/>
                </w:ffData>
              </w:fldChar>
            </w:r>
            <w:r w:rsidR="00232DB2" w:rsidRPr="0075656B">
              <w:rPr>
                <w:rFonts w:ascii="Times New Roman" w:eastAsia="MS Gothic" w:hAnsi="Times New Roman"/>
                <w:sz w:val="16"/>
                <w:szCs w:val="16"/>
              </w:rPr>
              <w:instrText xml:space="preserve"> FORMTEXT </w:instrText>
            </w:r>
            <w:r w:rsidR="00232DB2" w:rsidRPr="0075656B">
              <w:rPr>
                <w:rFonts w:ascii="Times New Roman" w:eastAsia="MS Gothic" w:hAnsi="Times New Roman"/>
                <w:sz w:val="16"/>
                <w:szCs w:val="16"/>
              </w:rPr>
            </w:r>
            <w:r w:rsidR="00232DB2" w:rsidRPr="0075656B">
              <w:rPr>
                <w:rFonts w:ascii="Times New Roman" w:eastAsia="MS Gothic" w:hAnsi="Times New Roman"/>
                <w:sz w:val="16"/>
                <w:szCs w:val="16"/>
              </w:rPr>
              <w:fldChar w:fldCharType="separate"/>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fldChar w:fldCharType="end"/>
            </w:r>
            <w:r w:rsidR="00232DB2" w:rsidRPr="0075656B">
              <w:rPr>
                <w:rFonts w:ascii="Times New Roman" w:eastAsia="MS Gothic" w:hAnsi="Times New Roman"/>
                <w:sz w:val="16"/>
                <w:szCs w:val="16"/>
              </w:rPr>
              <w:t xml:space="preserve">от </w:t>
            </w:r>
            <w:r w:rsidR="00232DB2" w:rsidRPr="0075656B">
              <w:rPr>
                <w:rFonts w:ascii="Times New Roman" w:eastAsia="MS Gothic" w:hAnsi="Times New Roman"/>
                <w:sz w:val="16"/>
                <w:szCs w:val="16"/>
              </w:rPr>
              <w:fldChar w:fldCharType="begin">
                <w:ffData>
                  <w:name w:val=""/>
                  <w:enabled/>
                  <w:calcOnExit w:val="0"/>
                  <w:textInput>
                    <w:type w:val="date"/>
                    <w:format w:val="dd.MM.yyyy"/>
                  </w:textInput>
                </w:ffData>
              </w:fldChar>
            </w:r>
            <w:r w:rsidR="00232DB2" w:rsidRPr="0075656B">
              <w:rPr>
                <w:rFonts w:ascii="Times New Roman" w:eastAsia="MS Gothic" w:hAnsi="Times New Roman"/>
                <w:sz w:val="16"/>
                <w:szCs w:val="16"/>
              </w:rPr>
              <w:instrText xml:space="preserve"> FORMTEXT </w:instrText>
            </w:r>
            <w:r w:rsidR="00232DB2" w:rsidRPr="0075656B">
              <w:rPr>
                <w:rFonts w:ascii="Times New Roman" w:eastAsia="MS Gothic" w:hAnsi="Times New Roman"/>
                <w:sz w:val="16"/>
                <w:szCs w:val="16"/>
              </w:rPr>
            </w:r>
            <w:r w:rsidR="00232DB2" w:rsidRPr="0075656B">
              <w:rPr>
                <w:rFonts w:ascii="Times New Roman" w:eastAsia="MS Gothic" w:hAnsi="Times New Roman"/>
                <w:sz w:val="16"/>
                <w:szCs w:val="16"/>
              </w:rPr>
              <w:fldChar w:fldCharType="separate"/>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t> </w:t>
            </w:r>
            <w:r w:rsidR="00232DB2" w:rsidRPr="0075656B">
              <w:rPr>
                <w:rFonts w:ascii="Times New Roman" w:eastAsia="MS Gothic" w:hAnsi="Times New Roman"/>
                <w:sz w:val="16"/>
                <w:szCs w:val="16"/>
              </w:rPr>
              <w:fldChar w:fldCharType="end"/>
            </w:r>
            <w:r w:rsidR="00232DB2" w:rsidRPr="0075656B">
              <w:rPr>
                <w:rFonts w:ascii="Times New Roman" w:eastAsia="MS Gothic" w:hAnsi="Times New Roman"/>
                <w:sz w:val="16"/>
                <w:szCs w:val="16"/>
              </w:rPr>
              <w:t>.</w:t>
            </w:r>
          </w:p>
          <w:p w14:paraId="11FAC00E" w14:textId="77777777" w:rsidR="00FA5169" w:rsidRPr="0075656B" w:rsidRDefault="00FA5169" w:rsidP="00EA2B20">
            <w:pPr>
              <w:pStyle w:val="a4"/>
              <w:tabs>
                <w:tab w:val="left" w:pos="1134"/>
              </w:tabs>
              <w:spacing w:after="120" w:line="240" w:lineRule="auto"/>
              <w:ind w:left="442"/>
              <w:contextualSpacing w:val="0"/>
              <w:jc w:val="both"/>
              <w:rPr>
                <w:rFonts w:ascii="Times New Roman" w:eastAsia="MS Gothic" w:hAnsi="Times New Roman"/>
                <w:sz w:val="16"/>
                <w:szCs w:val="16"/>
              </w:rPr>
            </w:pPr>
          </w:p>
          <w:p w14:paraId="5BA68285" w14:textId="77777777" w:rsidR="00FF0848" w:rsidRPr="0075656B" w:rsidRDefault="00FF0848" w:rsidP="00FF0848">
            <w:pPr>
              <w:pStyle w:val="a4"/>
              <w:tabs>
                <w:tab w:val="left" w:pos="459"/>
              </w:tabs>
              <w:spacing w:after="120" w:line="240" w:lineRule="auto"/>
              <w:ind w:left="743" w:hanging="284"/>
              <w:contextualSpacing w:val="0"/>
              <w:jc w:val="both"/>
              <w:rPr>
                <w:rFonts w:ascii="Times New Roman" w:eastAsia="MS Gothic" w:hAnsi="Times New Roman"/>
                <w:sz w:val="16"/>
                <w:szCs w:val="16"/>
              </w:rPr>
            </w:pPr>
            <w:r w:rsidRPr="0075656B">
              <w:rPr>
                <w:rFonts w:ascii="Times New Roman" w:eastAsia="MS Gothic" w:hAnsi="Times New Roman"/>
                <w:sz w:val="16"/>
                <w:szCs w:val="16"/>
              </w:rPr>
              <w:t>Вариант 2:</w:t>
            </w:r>
          </w:p>
          <w:p w14:paraId="1DEA1351" w14:textId="77777777" w:rsidR="00A81D4A" w:rsidRPr="0075656B" w:rsidRDefault="00802E57" w:rsidP="003A767D">
            <w:pPr>
              <w:pStyle w:val="a4"/>
              <w:tabs>
                <w:tab w:val="left" w:pos="459"/>
              </w:tabs>
              <w:spacing w:after="120" w:line="240" w:lineRule="auto"/>
              <w:ind w:left="743" w:hanging="284"/>
              <w:contextualSpacing w:val="0"/>
              <w:jc w:val="both"/>
              <w:rPr>
                <w:rFonts w:ascii="Times New Roman" w:eastAsia="MS Gothic" w:hAnsi="Times New Roman"/>
                <w:sz w:val="16"/>
                <w:szCs w:val="16"/>
              </w:rPr>
            </w:pPr>
            <w:sdt>
              <w:sdtPr>
                <w:rPr>
                  <w:rFonts w:ascii="Times New Roman" w:eastAsia="MS Gothic" w:hAnsi="Times New Roman"/>
                  <w:sz w:val="20"/>
                  <w:szCs w:val="20"/>
                </w:rPr>
                <w:id w:val="-827516597"/>
                <w14:checkbox>
                  <w14:checked w14:val="0"/>
                  <w14:checkedState w14:val="2612" w14:font="MS Gothic"/>
                  <w14:uncheckedState w14:val="2610" w14:font="MS Gothic"/>
                </w14:checkbox>
              </w:sdtPr>
              <w:sdtEndPr/>
              <w:sdtContent>
                <w:r w:rsidR="00806534" w:rsidRPr="0075656B">
                  <w:rPr>
                    <w:rFonts w:ascii="Segoe UI Symbol" w:eastAsia="MS Gothic" w:hAnsi="Segoe UI Symbol" w:cs="Segoe UI Symbol"/>
                    <w:sz w:val="20"/>
                    <w:szCs w:val="20"/>
                  </w:rPr>
                  <w:t>☐</w:t>
                </w:r>
              </w:sdtContent>
            </w:sdt>
            <w:r w:rsidR="00806534" w:rsidRPr="0075656B" w:rsidDel="00806534">
              <w:rPr>
                <w:rFonts w:ascii="Times New Roman" w:eastAsia="MS Gothic" w:hAnsi="Times New Roman"/>
                <w:sz w:val="16"/>
                <w:szCs w:val="16"/>
              </w:rPr>
              <w:t xml:space="preserve"> </w:t>
            </w:r>
            <w:r w:rsidR="00FF0848" w:rsidRPr="0075656B">
              <w:rPr>
                <w:rFonts w:ascii="Times New Roman" w:eastAsia="MS Gothic" w:hAnsi="Times New Roman"/>
                <w:sz w:val="16"/>
                <w:szCs w:val="16"/>
              </w:rPr>
              <w:t>дает Депозитарию поручение на открытие счета депо владельца. Такое поручени</w:t>
            </w:r>
            <w:r w:rsidR="00E15929" w:rsidRPr="0075656B">
              <w:rPr>
                <w:rFonts w:ascii="Times New Roman" w:eastAsia="MS Gothic" w:hAnsi="Times New Roman"/>
                <w:sz w:val="16"/>
                <w:szCs w:val="16"/>
              </w:rPr>
              <w:t>е</w:t>
            </w:r>
            <w:r w:rsidR="00FF0848" w:rsidRPr="0075656B">
              <w:rPr>
                <w:rFonts w:ascii="Times New Roman" w:eastAsia="MS Gothic" w:hAnsi="Times New Roman"/>
                <w:sz w:val="16"/>
                <w:szCs w:val="16"/>
              </w:rPr>
              <w:t xml:space="preserve"> исполняется Депозитарием в дату направления Депоненту уведомления о заключении с ним Депозитарного договора.</w:t>
            </w:r>
          </w:p>
          <w:p w14:paraId="37F3CC97" w14:textId="28331826" w:rsidR="00446AD5" w:rsidRPr="0075656B" w:rsidRDefault="00802E57" w:rsidP="00AB2F98">
            <w:pPr>
              <w:pStyle w:val="a4"/>
              <w:tabs>
                <w:tab w:val="left" w:pos="459"/>
              </w:tabs>
              <w:spacing w:after="120" w:line="240" w:lineRule="auto"/>
              <w:ind w:left="1026" w:hanging="284"/>
              <w:contextualSpacing w:val="0"/>
              <w:jc w:val="both"/>
              <w:rPr>
                <w:rFonts w:ascii="Times New Roman" w:eastAsia="MS Gothic" w:hAnsi="Times New Roman"/>
                <w:sz w:val="16"/>
                <w:szCs w:val="16"/>
              </w:rPr>
            </w:pPr>
            <w:sdt>
              <w:sdtPr>
                <w:rPr>
                  <w:rFonts w:ascii="Times New Roman" w:eastAsia="MS Gothic" w:hAnsi="Times New Roman"/>
                  <w:sz w:val="20"/>
                  <w:szCs w:val="20"/>
                </w:rPr>
                <w:id w:val="-837309486"/>
                <w14:checkbox>
                  <w14:checked w14:val="0"/>
                  <w14:checkedState w14:val="2612" w14:font="MS Gothic"/>
                  <w14:uncheckedState w14:val="2610" w14:font="MS Gothic"/>
                </w14:checkbox>
              </w:sdtPr>
              <w:sdtEndPr/>
              <w:sdtContent>
                <w:r w:rsidR="00446AD5" w:rsidRPr="0075656B">
                  <w:rPr>
                    <w:rFonts w:ascii="Segoe UI Symbol" w:eastAsia="MS Gothic" w:hAnsi="Segoe UI Symbol" w:cs="Segoe UI Symbol"/>
                    <w:sz w:val="20"/>
                    <w:szCs w:val="20"/>
                  </w:rPr>
                  <w:t>☐</w:t>
                </w:r>
              </w:sdtContent>
            </w:sdt>
            <w:r w:rsidR="00446AD5" w:rsidRPr="0075656B" w:rsidDel="00806534">
              <w:rPr>
                <w:rFonts w:ascii="Times New Roman" w:eastAsia="MS Gothic" w:hAnsi="Times New Roman"/>
                <w:sz w:val="16"/>
                <w:szCs w:val="16"/>
              </w:rPr>
              <w:t xml:space="preserve"> </w:t>
            </w:r>
            <w:r w:rsidR="00446AD5" w:rsidRPr="0075656B">
              <w:rPr>
                <w:rFonts w:ascii="Times New Roman" w:eastAsia="MS Gothic" w:hAnsi="Times New Roman"/>
                <w:sz w:val="16"/>
                <w:szCs w:val="16"/>
              </w:rPr>
              <w:t xml:space="preserve">указанный счет не предназначен для использования в процессе оказания </w:t>
            </w:r>
            <w:r w:rsidR="000D0CD7" w:rsidRPr="0075656B">
              <w:rPr>
                <w:rFonts w:ascii="Times New Roman" w:eastAsia="MS Gothic" w:hAnsi="Times New Roman"/>
                <w:sz w:val="16"/>
                <w:szCs w:val="16"/>
              </w:rPr>
              <w:t>Депоненту</w:t>
            </w:r>
            <w:r w:rsidR="00446AD5" w:rsidRPr="0075656B">
              <w:rPr>
                <w:rFonts w:ascii="Times New Roman" w:eastAsia="MS Gothic" w:hAnsi="Times New Roman"/>
                <w:sz w:val="16"/>
                <w:szCs w:val="16"/>
              </w:rPr>
              <w:t xml:space="preserve"> со стороны </w:t>
            </w:r>
            <w:r w:rsidR="006B136A">
              <w:rPr>
                <w:rFonts w:ascii="Times New Roman" w:eastAsia="MS Gothic" w:hAnsi="Times New Roman"/>
                <w:sz w:val="16"/>
                <w:szCs w:val="16"/>
              </w:rPr>
              <w:t>Акционерного общества «Инвестиционная компания «Горизонт»</w:t>
            </w:r>
            <w:r w:rsidR="00446AD5" w:rsidRPr="0075656B">
              <w:rPr>
                <w:rFonts w:ascii="Times New Roman" w:eastAsia="MS Gothic" w:hAnsi="Times New Roman"/>
                <w:sz w:val="16"/>
                <w:szCs w:val="16"/>
              </w:rPr>
              <w:t xml:space="preserve"> брокерских услуг (операции по такому счету не проводятся на основании документов, полученных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00446AD5" w:rsidRPr="0075656B">
              <w:rPr>
                <w:rFonts w:ascii="Times New Roman" w:eastAsia="MS Gothic" w:hAnsi="Times New Roman"/>
                <w:sz w:val="16"/>
                <w:szCs w:val="16"/>
              </w:rPr>
              <w:t xml:space="preserve">в </w:t>
            </w:r>
            <w:r w:rsidR="00070D0A" w:rsidRPr="0075656B">
              <w:rPr>
                <w:rFonts w:ascii="Times New Roman" w:eastAsia="MS Gothic" w:hAnsi="Times New Roman"/>
                <w:sz w:val="16"/>
                <w:szCs w:val="16"/>
              </w:rPr>
              <w:t>рамках оказания Д</w:t>
            </w:r>
            <w:r w:rsidR="00446AD5" w:rsidRPr="0075656B">
              <w:rPr>
                <w:rFonts w:ascii="Times New Roman" w:eastAsia="MS Gothic" w:hAnsi="Times New Roman"/>
                <w:sz w:val="16"/>
                <w:szCs w:val="16"/>
              </w:rPr>
              <w:t>епоненту брокерских услуг)</w:t>
            </w:r>
          </w:p>
          <w:p w14:paraId="1EFC7F3F" w14:textId="005DE695"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lastRenderedPageBreak/>
              <w:t xml:space="preserve">За исключением случая, когда Заявитель указал, что открытый на основании настоящего Заявления счет депо владельца не предназначен для использования в процессе оказания Заявителю со стороны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брокерских услуг,</w:t>
            </w:r>
          </w:p>
          <w:p w14:paraId="57AA44D0" w14:textId="77777777"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но при условии, что ниже отсутствует указание Заявителя использовать открытый на основании настоящего Заявления счет депо владельца в рамках оказания Депоненту брокерских услуг на основании иного Договора о Брокерском обслуживании,</w:t>
            </w:r>
          </w:p>
          <w:p w14:paraId="3A1ED0DB" w14:textId="77777777"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присоединяясь к Депозитарному договору, Заявитель соглашается с тем, что Депозитарий использует в качестве оснований для совершения Депозитарных операций по открытому на основании настоящего Заявления счету депо владельца документы (в том числе поручения), полученные от Депонента в рамках оказания Депоненту брокерских услуг на основании Договора о Брокерском обслуживании, заключенного на основании Заявления о присоединении к Договору о Брокерском обслуживании, указанного в разделе </w:t>
            </w:r>
            <w:r w:rsidRPr="0075656B">
              <w:rPr>
                <w:rFonts w:ascii="Times New Roman" w:eastAsia="MS Gothic" w:hAnsi="Times New Roman"/>
                <w:sz w:val="16"/>
                <w:szCs w:val="16"/>
                <w:lang w:val="en-US"/>
              </w:rPr>
              <w:t>I</w:t>
            </w:r>
            <w:r w:rsidRPr="0075656B">
              <w:rPr>
                <w:rFonts w:ascii="Times New Roman" w:eastAsia="MS Gothic" w:hAnsi="Times New Roman"/>
                <w:sz w:val="16"/>
                <w:szCs w:val="16"/>
              </w:rPr>
              <w:t xml:space="preserve"> «Присоединение к Договору о брокерском обслуживании» настоящего Заявления.</w:t>
            </w:r>
          </w:p>
          <w:p w14:paraId="4B3F2D9C" w14:textId="4BD149FF" w:rsidR="00ED50A6" w:rsidRPr="0075656B" w:rsidRDefault="00802E57" w:rsidP="00ED50A6">
            <w:pPr>
              <w:pStyle w:val="a4"/>
              <w:tabs>
                <w:tab w:val="left" w:pos="1134"/>
              </w:tabs>
              <w:spacing w:after="120" w:line="240" w:lineRule="auto"/>
              <w:ind w:left="442"/>
              <w:contextualSpacing w:val="0"/>
              <w:jc w:val="both"/>
              <w:rPr>
                <w:rFonts w:ascii="Times New Roman" w:eastAsia="MS Gothic" w:hAnsi="Times New Roman"/>
                <w:sz w:val="16"/>
                <w:szCs w:val="16"/>
              </w:rPr>
            </w:pPr>
            <w:sdt>
              <w:sdtPr>
                <w:rPr>
                  <w:rFonts w:ascii="Times New Roman" w:eastAsia="MS Gothic" w:hAnsi="Times New Roman"/>
                  <w:sz w:val="20"/>
                  <w:szCs w:val="20"/>
                </w:rPr>
                <w:id w:val="-1301689555"/>
                <w14:checkbox>
                  <w14:checked w14:val="0"/>
                  <w14:checkedState w14:val="2612" w14:font="MS Gothic"/>
                  <w14:uncheckedState w14:val="2610" w14:font="MS Gothic"/>
                </w14:checkbox>
              </w:sdtPr>
              <w:sdtEndPr/>
              <w:sdtContent>
                <w:r w:rsidR="00ED50A6" w:rsidRPr="00D27A8F">
                  <w:rPr>
                    <w:rFonts w:ascii="Segoe UI Symbol" w:eastAsia="MS Gothic" w:hAnsi="Segoe UI Symbol" w:cs="Segoe UI Symbol"/>
                    <w:sz w:val="20"/>
                    <w:szCs w:val="20"/>
                  </w:rPr>
                  <w:t>☐</w:t>
                </w:r>
              </w:sdtContent>
            </w:sdt>
            <w:r w:rsidR="00ED50A6" w:rsidRPr="0075656B">
              <w:rPr>
                <w:rFonts w:ascii="Times New Roman" w:eastAsia="MS Gothic" w:hAnsi="Times New Roman"/>
                <w:sz w:val="16"/>
                <w:szCs w:val="16"/>
              </w:rPr>
              <w:t xml:space="preserve"> Настоящим даю указание </w:t>
            </w:r>
            <w:r w:rsidR="007A77D2">
              <w:rPr>
                <w:rFonts w:ascii="Times New Roman" w:eastAsia="MS Gothic" w:hAnsi="Times New Roman"/>
                <w:sz w:val="16"/>
                <w:szCs w:val="16"/>
              </w:rPr>
              <w:t>Акционерному обществу «Инвестиционная компания «Горизонт»</w:t>
            </w:r>
            <w:r w:rsidR="007A77D2" w:rsidRPr="0075656B">
              <w:rPr>
                <w:rFonts w:ascii="Times New Roman" w:eastAsia="MS Gothic" w:hAnsi="Times New Roman"/>
                <w:sz w:val="16"/>
                <w:szCs w:val="16"/>
              </w:rPr>
              <w:t xml:space="preserve"> </w:t>
            </w:r>
            <w:r w:rsidR="00ED50A6" w:rsidRPr="0075656B">
              <w:rPr>
                <w:rFonts w:ascii="Times New Roman" w:eastAsia="MS Gothic" w:hAnsi="Times New Roman"/>
                <w:sz w:val="16"/>
                <w:szCs w:val="16"/>
              </w:rPr>
              <w:t>использовать в качестве оснований для совершения Депозитарных операций по открытому на основании настоящего Заявления счету депо владельца документы (в том числе поручения), полученные от Депонента в рамках оказания Депоненту брокерских услуг на основании</w:t>
            </w:r>
            <w:r w:rsidR="00810415" w:rsidRPr="0075656B">
              <w:rPr>
                <w:rFonts w:ascii="Times New Roman" w:eastAsia="MS Gothic" w:hAnsi="Times New Roman"/>
                <w:sz w:val="16"/>
                <w:szCs w:val="16"/>
              </w:rPr>
              <w:t xml:space="preserve"> Договора</w:t>
            </w:r>
            <w:r w:rsidR="00ED50A6" w:rsidRPr="0075656B">
              <w:rPr>
                <w:rFonts w:ascii="Times New Roman" w:eastAsia="MS Gothic" w:hAnsi="Times New Roman"/>
                <w:sz w:val="16"/>
                <w:szCs w:val="16"/>
              </w:rPr>
              <w:t xml:space="preserve"> о </w:t>
            </w:r>
            <w:r w:rsidR="00C2500A" w:rsidRPr="0075656B">
              <w:rPr>
                <w:rFonts w:ascii="Times New Roman" w:eastAsia="MS Gothic" w:hAnsi="Times New Roman"/>
                <w:sz w:val="16"/>
                <w:szCs w:val="16"/>
              </w:rPr>
              <w:t>б</w:t>
            </w:r>
            <w:r w:rsidR="00ED50A6" w:rsidRPr="0075656B">
              <w:rPr>
                <w:rFonts w:ascii="Times New Roman" w:eastAsia="MS Gothic" w:hAnsi="Times New Roman"/>
                <w:sz w:val="16"/>
                <w:szCs w:val="16"/>
              </w:rPr>
              <w:t xml:space="preserve">рокерском обслуживании № </w:t>
            </w:r>
            <w:r w:rsidR="00ED50A6" w:rsidRPr="0075656B">
              <w:rPr>
                <w:rFonts w:ascii="Times New Roman" w:eastAsia="MS Gothic" w:hAnsi="Times New Roman"/>
                <w:sz w:val="16"/>
                <w:szCs w:val="16"/>
              </w:rPr>
              <w:fldChar w:fldCharType="begin">
                <w:ffData>
                  <w:name w:val="ТекстовоеПоле1"/>
                  <w:enabled/>
                  <w:calcOnExit w:val="0"/>
                  <w:textInput/>
                </w:ffData>
              </w:fldChar>
            </w:r>
            <w:r w:rsidR="00ED50A6" w:rsidRPr="0075656B">
              <w:rPr>
                <w:rFonts w:ascii="Times New Roman" w:eastAsia="MS Gothic" w:hAnsi="Times New Roman"/>
                <w:sz w:val="16"/>
                <w:szCs w:val="16"/>
              </w:rPr>
              <w:instrText xml:space="preserve"> FORMTEXT </w:instrText>
            </w:r>
            <w:r w:rsidR="00ED50A6" w:rsidRPr="0075656B">
              <w:rPr>
                <w:rFonts w:ascii="Times New Roman" w:eastAsia="MS Gothic" w:hAnsi="Times New Roman"/>
                <w:sz w:val="16"/>
                <w:szCs w:val="16"/>
              </w:rPr>
            </w:r>
            <w:r w:rsidR="00ED50A6" w:rsidRPr="0075656B">
              <w:rPr>
                <w:rFonts w:ascii="Times New Roman" w:eastAsia="MS Gothic" w:hAnsi="Times New Roman"/>
                <w:sz w:val="16"/>
                <w:szCs w:val="16"/>
              </w:rPr>
              <w:fldChar w:fldCharType="separate"/>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fldChar w:fldCharType="end"/>
            </w:r>
            <w:r w:rsidR="00ED50A6" w:rsidRPr="0075656B">
              <w:rPr>
                <w:rFonts w:ascii="Times New Roman" w:eastAsia="MS Gothic" w:hAnsi="Times New Roman"/>
                <w:sz w:val="16"/>
                <w:szCs w:val="16"/>
              </w:rPr>
              <w:t xml:space="preserve">от </w:t>
            </w:r>
            <w:r w:rsidR="00ED50A6" w:rsidRPr="0075656B">
              <w:rPr>
                <w:rFonts w:ascii="Times New Roman" w:eastAsia="MS Gothic" w:hAnsi="Times New Roman"/>
                <w:sz w:val="16"/>
                <w:szCs w:val="16"/>
              </w:rPr>
              <w:fldChar w:fldCharType="begin">
                <w:ffData>
                  <w:name w:val=""/>
                  <w:enabled/>
                  <w:calcOnExit w:val="0"/>
                  <w:textInput>
                    <w:type w:val="date"/>
                    <w:format w:val="dd.MM.yyyy"/>
                  </w:textInput>
                </w:ffData>
              </w:fldChar>
            </w:r>
            <w:r w:rsidR="00ED50A6" w:rsidRPr="0075656B">
              <w:rPr>
                <w:rFonts w:ascii="Times New Roman" w:eastAsia="MS Gothic" w:hAnsi="Times New Roman"/>
                <w:sz w:val="16"/>
                <w:szCs w:val="16"/>
              </w:rPr>
              <w:instrText xml:space="preserve"> FORMTEXT </w:instrText>
            </w:r>
            <w:r w:rsidR="00ED50A6" w:rsidRPr="0075656B">
              <w:rPr>
                <w:rFonts w:ascii="Times New Roman" w:eastAsia="MS Gothic" w:hAnsi="Times New Roman"/>
                <w:sz w:val="16"/>
                <w:szCs w:val="16"/>
              </w:rPr>
            </w:r>
            <w:r w:rsidR="00ED50A6" w:rsidRPr="0075656B">
              <w:rPr>
                <w:rFonts w:ascii="Times New Roman" w:eastAsia="MS Gothic" w:hAnsi="Times New Roman"/>
                <w:sz w:val="16"/>
                <w:szCs w:val="16"/>
              </w:rPr>
              <w:fldChar w:fldCharType="separate"/>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fldChar w:fldCharType="end"/>
            </w:r>
            <w:r w:rsidR="00ED50A6" w:rsidRPr="0075656B">
              <w:rPr>
                <w:rFonts w:ascii="Times New Roman" w:eastAsia="MS Gothic" w:hAnsi="Times New Roman"/>
                <w:sz w:val="16"/>
                <w:szCs w:val="16"/>
              </w:rPr>
              <w:t>.</w:t>
            </w:r>
          </w:p>
          <w:p w14:paraId="51C5A186" w14:textId="77777777" w:rsidR="00775894" w:rsidRPr="0075656B" w:rsidRDefault="00775894" w:rsidP="00EA2B20">
            <w:pPr>
              <w:pStyle w:val="a4"/>
              <w:rPr>
                <w:rFonts w:ascii="Times New Roman" w:eastAsia="MS Gothic" w:hAnsi="Times New Roman"/>
              </w:rPr>
            </w:pPr>
          </w:p>
        </w:tc>
      </w:tr>
    </w:tbl>
    <w:p w14:paraId="13096F49" w14:textId="77777777" w:rsidR="002A4D7E" w:rsidRPr="0075656B" w:rsidRDefault="002A4D7E" w:rsidP="00E11D62">
      <w:pPr>
        <w:pStyle w:val="a4"/>
        <w:tabs>
          <w:tab w:val="left" w:pos="1134"/>
        </w:tabs>
        <w:spacing w:after="120" w:line="240" w:lineRule="auto"/>
        <w:contextualSpacing w:val="0"/>
        <w:jc w:val="both"/>
        <w:rPr>
          <w:rFonts w:ascii="Times New Roman" w:eastAsia="MS Gothic" w:hAnsi="Times New Roman"/>
          <w:sz w:val="16"/>
          <w:szCs w:val="16"/>
        </w:rPr>
      </w:pPr>
    </w:p>
    <w:tbl>
      <w:tblPr>
        <w:tblStyle w:val="af6"/>
        <w:tblW w:w="0" w:type="auto"/>
        <w:tblInd w:w="-5" w:type="dxa"/>
        <w:tblLook w:val="04A0" w:firstRow="1" w:lastRow="0" w:firstColumn="1" w:lastColumn="0" w:noHBand="0" w:noVBand="1"/>
      </w:tblPr>
      <w:tblGrid>
        <w:gridCol w:w="9350"/>
      </w:tblGrid>
      <w:tr w:rsidR="000B6B66" w:rsidRPr="00D27A8F" w14:paraId="1BBF1AA7" w14:textId="77777777" w:rsidTr="00AB2F98">
        <w:trPr>
          <w:trHeight w:val="416"/>
        </w:trPr>
        <w:tc>
          <w:tcPr>
            <w:tcW w:w="9350" w:type="dxa"/>
          </w:tcPr>
          <w:p w14:paraId="6BFF0B13" w14:textId="77777777" w:rsidR="000B6B66" w:rsidRPr="0075656B" w:rsidRDefault="000B6B66" w:rsidP="000B6B66">
            <w:pPr>
              <w:tabs>
                <w:tab w:val="left" w:pos="1134"/>
              </w:tabs>
              <w:spacing w:after="120" w:line="240" w:lineRule="auto"/>
              <w:jc w:val="both"/>
              <w:rPr>
                <w:rFonts w:ascii="Times New Roman" w:eastAsia="MS Gothic" w:hAnsi="Times New Roman"/>
                <w:i/>
                <w:sz w:val="16"/>
                <w:szCs w:val="16"/>
              </w:rPr>
            </w:pPr>
            <w:r w:rsidRPr="0075656B">
              <w:rPr>
                <w:rFonts w:ascii="Times New Roman" w:eastAsia="MS Gothic" w:hAnsi="Times New Roman"/>
                <w:i/>
                <w:sz w:val="16"/>
                <w:szCs w:val="16"/>
              </w:rPr>
              <w:t>Блок предназначен доверительным управляющим</w:t>
            </w:r>
            <w:r w:rsidR="00CF6BD2" w:rsidRPr="0075656B">
              <w:rPr>
                <w:rFonts w:ascii="Times New Roman" w:eastAsia="MS Gothic" w:hAnsi="Times New Roman"/>
                <w:i/>
                <w:sz w:val="16"/>
                <w:szCs w:val="16"/>
              </w:rPr>
              <w:t xml:space="preserve"> – профессиональным участникам ры</w:t>
            </w:r>
            <w:r w:rsidR="00EB6E2E" w:rsidRPr="0075656B">
              <w:rPr>
                <w:rFonts w:ascii="Times New Roman" w:eastAsia="MS Gothic" w:hAnsi="Times New Roman"/>
                <w:i/>
                <w:sz w:val="16"/>
                <w:szCs w:val="16"/>
              </w:rPr>
              <w:t>нка ценных бумаг, осуществляющим</w:t>
            </w:r>
            <w:r w:rsidR="00CF6BD2" w:rsidRPr="0075656B">
              <w:rPr>
                <w:rFonts w:ascii="Times New Roman" w:eastAsia="MS Gothic" w:hAnsi="Times New Roman"/>
                <w:i/>
                <w:sz w:val="16"/>
                <w:szCs w:val="16"/>
              </w:rPr>
              <w:t xml:space="preserve"> деятельность по управлению ценными бумагами</w:t>
            </w:r>
            <w:r w:rsidR="00B1196D" w:rsidRPr="0075656B">
              <w:rPr>
                <w:rFonts w:ascii="Times New Roman" w:eastAsia="MS Gothic" w:hAnsi="Times New Roman"/>
                <w:i/>
                <w:sz w:val="16"/>
                <w:szCs w:val="16"/>
              </w:rPr>
              <w:t xml:space="preserve">, а также </w:t>
            </w:r>
            <w:r w:rsidR="00A6104F" w:rsidRPr="0075656B">
              <w:rPr>
                <w:rFonts w:ascii="Times New Roman" w:eastAsia="MS Gothic" w:hAnsi="Times New Roman"/>
                <w:i/>
                <w:sz w:val="16"/>
                <w:szCs w:val="16"/>
              </w:rPr>
              <w:t xml:space="preserve">управляющим компаниям, осуществляющим деятельность </w:t>
            </w:r>
            <w:r w:rsidR="00B1196D" w:rsidRPr="0075656B">
              <w:rPr>
                <w:rFonts w:ascii="Times New Roman" w:eastAsia="MS Gothic" w:hAnsi="Times New Roman"/>
                <w:i/>
                <w:sz w:val="16"/>
                <w:szCs w:val="16"/>
              </w:rPr>
              <w:t>на основании лицензии на осуществление деятельности по</w:t>
            </w:r>
            <w:r w:rsidR="00A6104F" w:rsidRPr="0075656B">
              <w:rPr>
                <w:rFonts w:ascii="Times New Roman" w:eastAsia="MS Gothic" w:hAnsi="Times New Roman"/>
                <w:i/>
                <w:sz w:val="16"/>
                <w:szCs w:val="16"/>
              </w:rPr>
              <w:t xml:space="preserve"> управлению инвестиционными фондами, паевыми инвестиционными фондами и негосударственными пенсионными фондами,</w:t>
            </w:r>
          </w:p>
          <w:p w14:paraId="3258C3A7" w14:textId="77777777" w:rsidR="00864D10" w:rsidRPr="0075656B" w:rsidRDefault="00864D10" w:rsidP="00EA2B20">
            <w:pPr>
              <w:pStyle w:val="a4"/>
              <w:spacing w:after="120" w:line="240" w:lineRule="auto"/>
              <w:ind w:left="443"/>
              <w:contextualSpacing w:val="0"/>
              <w:jc w:val="both"/>
              <w:rPr>
                <w:rFonts w:ascii="Times New Roman" w:eastAsia="MS Gothic" w:hAnsi="Times New Roman"/>
                <w:sz w:val="16"/>
                <w:szCs w:val="16"/>
              </w:rPr>
            </w:pPr>
          </w:p>
          <w:p w14:paraId="125698F0" w14:textId="12405B20" w:rsidR="00756CC2" w:rsidRPr="0075656B" w:rsidRDefault="000B6B66" w:rsidP="00756CC2">
            <w:pPr>
              <w:pStyle w:val="a4"/>
              <w:spacing w:after="120" w:line="240" w:lineRule="auto"/>
              <w:ind w:left="443"/>
              <w:contextualSpacing w:val="0"/>
              <w:jc w:val="both"/>
              <w:rPr>
                <w:rFonts w:ascii="Times New Roman" w:eastAsia="MS Gothic" w:hAnsi="Times New Roman"/>
                <w:sz w:val="16"/>
                <w:szCs w:val="16"/>
              </w:rPr>
            </w:pPr>
            <w:r w:rsidRPr="0075656B">
              <w:rPr>
                <w:rFonts w:ascii="Times New Roman" w:eastAsia="MS Gothic" w:hAnsi="Times New Roman"/>
                <w:sz w:val="16"/>
                <w:szCs w:val="16"/>
              </w:rPr>
              <w:t>Присоединяясь к Депозитарному договору, Депонент</w:t>
            </w:r>
            <w:r w:rsidR="00775894" w:rsidRPr="0075656B">
              <w:rPr>
                <w:rFonts w:ascii="Times New Roman" w:eastAsia="MS Gothic" w:hAnsi="Times New Roman"/>
                <w:sz w:val="16"/>
                <w:szCs w:val="16"/>
              </w:rPr>
              <w:t xml:space="preserve"> дает </w:t>
            </w:r>
            <w:r w:rsidR="007A77D2">
              <w:rPr>
                <w:rFonts w:ascii="Times New Roman" w:eastAsia="MS Gothic" w:hAnsi="Times New Roman"/>
                <w:sz w:val="16"/>
                <w:szCs w:val="16"/>
              </w:rPr>
              <w:t>Акционерному обществу «Инвестиционная компания «Горизонт»</w:t>
            </w:r>
            <w:r w:rsidR="007A77D2" w:rsidRPr="0075656B">
              <w:rPr>
                <w:rFonts w:ascii="Times New Roman" w:eastAsia="MS Gothic" w:hAnsi="Times New Roman"/>
                <w:sz w:val="16"/>
                <w:szCs w:val="16"/>
              </w:rPr>
              <w:t xml:space="preserve"> </w:t>
            </w:r>
            <w:r w:rsidR="002C7C38" w:rsidRPr="0075656B">
              <w:rPr>
                <w:rFonts w:ascii="Times New Roman" w:eastAsia="MS Gothic" w:hAnsi="Times New Roman"/>
                <w:sz w:val="16"/>
                <w:szCs w:val="16"/>
              </w:rPr>
              <w:t xml:space="preserve"> как депозитарию (далее - Депозитарий)</w:t>
            </w:r>
            <w:r w:rsidR="00775894" w:rsidRPr="0075656B">
              <w:rPr>
                <w:rFonts w:ascii="Times New Roman" w:eastAsia="MS Gothic" w:hAnsi="Times New Roman"/>
                <w:sz w:val="16"/>
                <w:szCs w:val="16"/>
              </w:rPr>
              <w:t xml:space="preserve"> поручение</w:t>
            </w:r>
            <w:r w:rsidRPr="0075656B">
              <w:rPr>
                <w:rFonts w:ascii="Times New Roman" w:eastAsia="MS Gothic" w:hAnsi="Times New Roman"/>
                <w:sz w:val="16"/>
                <w:szCs w:val="16"/>
              </w:rPr>
              <w:t xml:space="preserve"> на открытие торгового счета депо д</w:t>
            </w:r>
            <w:r w:rsidR="00775894" w:rsidRPr="0075656B">
              <w:rPr>
                <w:rFonts w:ascii="Times New Roman" w:eastAsia="MS Gothic" w:hAnsi="Times New Roman"/>
                <w:sz w:val="16"/>
                <w:szCs w:val="16"/>
              </w:rPr>
              <w:t>оверительного управляющего</w:t>
            </w:r>
            <w:r w:rsidR="00A01AA8" w:rsidRPr="0075656B">
              <w:rPr>
                <w:rFonts w:ascii="Times New Roman" w:eastAsia="MS Gothic" w:hAnsi="Times New Roman"/>
                <w:sz w:val="16"/>
                <w:szCs w:val="16"/>
              </w:rPr>
              <w:t xml:space="preserve"> </w:t>
            </w:r>
            <w:r w:rsidR="00F40856" w:rsidRPr="0075656B">
              <w:rPr>
                <w:rFonts w:ascii="Times New Roman" w:eastAsia="MS Gothic" w:hAnsi="Times New Roman"/>
                <w:sz w:val="16"/>
                <w:szCs w:val="16"/>
              </w:rPr>
              <w:t xml:space="preserve">для клиринга в соответствующей выбранному Клиентом организатору торговли (пункт 2 раздел </w:t>
            </w:r>
            <w:r w:rsidR="00F40856" w:rsidRPr="0075656B">
              <w:rPr>
                <w:rFonts w:ascii="Times New Roman" w:eastAsia="MS Gothic" w:hAnsi="Times New Roman"/>
                <w:sz w:val="16"/>
                <w:szCs w:val="16"/>
                <w:lang w:val="en-US"/>
              </w:rPr>
              <w:t>I</w:t>
            </w:r>
            <w:r w:rsidR="00F40856" w:rsidRPr="0075656B">
              <w:rPr>
                <w:rFonts w:ascii="Times New Roman" w:eastAsia="MS Gothic" w:hAnsi="Times New Roman"/>
                <w:sz w:val="16"/>
                <w:szCs w:val="16"/>
              </w:rPr>
              <w:t xml:space="preserve"> Заявления) клиринговой организации (для клиринга обязательств в Небанковской кредитной организации-центрального контрагента «Национальный Клиринговый Центр» (Акционерное общество) (далее - НКО НКЦ (АО)) - в отношении сделок на ПАО Московская Биржа</w:t>
            </w:r>
            <w:r w:rsidR="00775894" w:rsidRPr="0075656B">
              <w:rPr>
                <w:rFonts w:ascii="Times New Roman" w:eastAsia="MS Gothic" w:hAnsi="Times New Roman"/>
                <w:sz w:val="16"/>
                <w:szCs w:val="16"/>
              </w:rPr>
              <w:t>. Такое поручение исполняе</w:t>
            </w:r>
            <w:r w:rsidRPr="0075656B">
              <w:rPr>
                <w:rFonts w:ascii="Times New Roman" w:eastAsia="MS Gothic" w:hAnsi="Times New Roman"/>
                <w:sz w:val="16"/>
                <w:szCs w:val="16"/>
              </w:rPr>
              <w:t>тся Депозитарием в дату направления Депоненту уведомления о заключении с ним Депозитарного договора.</w:t>
            </w:r>
          </w:p>
          <w:p w14:paraId="1F35FCAA" w14:textId="7BD02DBE" w:rsidR="00756CC2" w:rsidRPr="0075656B" w:rsidRDefault="00756CC2" w:rsidP="00756CC2">
            <w:pPr>
              <w:pStyle w:val="a4"/>
              <w:spacing w:after="120" w:line="240" w:lineRule="auto"/>
              <w:ind w:left="443"/>
              <w:contextualSpacing w:val="0"/>
              <w:jc w:val="both"/>
              <w:rPr>
                <w:rFonts w:ascii="Times New Roman" w:eastAsia="MS Gothic" w:hAnsi="Times New Roman"/>
                <w:sz w:val="16"/>
                <w:szCs w:val="16"/>
              </w:rPr>
            </w:pPr>
            <w:r w:rsidRPr="0075656B">
              <w:rPr>
                <w:rFonts w:ascii="Times New Roman" w:eastAsia="MS Gothic" w:hAnsi="Times New Roman"/>
                <w:sz w:val="16"/>
                <w:szCs w:val="16"/>
              </w:rPr>
              <w:t>Отметка о присоединении к Депозитарному договору означает, что операции по соответствующему торговому счету депо доверительного управляющего будут осуществляться, в том числе по поручению или с согласия соответственно НКО НКЦ (АО) - в отношении торгового счета депо доверительного управляющего, открываемого для клиринга обязательств по сделкам, заключенным на торгах ПАО Московская Биржа).</w:t>
            </w:r>
          </w:p>
          <w:p w14:paraId="752AD88D" w14:textId="08941C71" w:rsidR="00756CC2" w:rsidRPr="0075656B" w:rsidRDefault="00756CC2" w:rsidP="00756CC2">
            <w:pPr>
              <w:pStyle w:val="a4"/>
              <w:tabs>
                <w:tab w:val="left" w:pos="1134"/>
              </w:tabs>
              <w:spacing w:after="120" w:line="240" w:lineRule="auto"/>
              <w:ind w:left="443"/>
              <w:jc w:val="both"/>
              <w:rPr>
                <w:rFonts w:ascii="Times New Roman" w:eastAsia="MS Gothic" w:hAnsi="Times New Roman"/>
                <w:sz w:val="16"/>
                <w:szCs w:val="16"/>
              </w:rPr>
            </w:pPr>
            <w:r w:rsidRPr="0075656B">
              <w:rPr>
                <w:rFonts w:ascii="Times New Roman" w:eastAsia="MS Gothic" w:hAnsi="Times New Roman"/>
                <w:sz w:val="16"/>
                <w:szCs w:val="16"/>
              </w:rPr>
              <w:t>В случае если клиринговая организация, осуществляющая клиринг по сделкам, заключенным на торгах ПАО Московская Биржа</w:t>
            </w:r>
            <w:r w:rsidR="000A39FA"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или </w:t>
            </w:r>
            <w:r w:rsidR="000A39FA" w:rsidRPr="0075656B">
              <w:rPr>
                <w:rFonts w:ascii="Times New Roman" w:eastAsia="MS Gothic" w:hAnsi="Times New Roman"/>
                <w:sz w:val="16"/>
                <w:szCs w:val="16"/>
              </w:rPr>
              <w:t>ее</w:t>
            </w:r>
            <w:r w:rsidRPr="0075656B">
              <w:rPr>
                <w:rFonts w:ascii="Times New Roman" w:eastAsia="MS Gothic" w:hAnsi="Times New Roman"/>
                <w:sz w:val="16"/>
                <w:szCs w:val="16"/>
              </w:rPr>
              <w:t xml:space="preserve"> правопреемники, поменя</w:t>
            </w:r>
            <w:r w:rsidR="00957788" w:rsidRPr="0075656B">
              <w:rPr>
                <w:rFonts w:ascii="Times New Roman" w:eastAsia="MS Gothic" w:hAnsi="Times New Roman"/>
                <w:sz w:val="16"/>
                <w:szCs w:val="16"/>
              </w:rPr>
              <w:t>ю</w:t>
            </w:r>
            <w:r w:rsidRPr="0075656B">
              <w:rPr>
                <w:rFonts w:ascii="Times New Roman" w:eastAsia="MS Gothic" w:hAnsi="Times New Roman"/>
                <w:sz w:val="16"/>
                <w:szCs w:val="16"/>
              </w:rPr>
              <w:t>тся, то с момента соответствующего изменения операции по соответствующему торговому счету депо доверительного управляющего будут осуществляться по поручению или с согласия новой клиринговой организации.</w:t>
            </w:r>
          </w:p>
          <w:p w14:paraId="07C28E6A" w14:textId="77777777" w:rsidR="00F40856" w:rsidRPr="0075656B" w:rsidRDefault="00F40856" w:rsidP="00EA2B20">
            <w:pPr>
              <w:pStyle w:val="a4"/>
              <w:spacing w:after="120" w:line="240" w:lineRule="auto"/>
              <w:ind w:left="443"/>
              <w:contextualSpacing w:val="0"/>
              <w:jc w:val="both"/>
              <w:rPr>
                <w:rFonts w:ascii="Times New Roman" w:eastAsia="MS Gothic" w:hAnsi="Times New Roman"/>
                <w:sz w:val="16"/>
                <w:szCs w:val="16"/>
              </w:rPr>
            </w:pPr>
          </w:p>
          <w:p w14:paraId="4DDE2F48" w14:textId="4878A64D" w:rsidR="00F40856" w:rsidRPr="0075656B" w:rsidRDefault="00802E57" w:rsidP="00EA2B20">
            <w:pPr>
              <w:pStyle w:val="a4"/>
              <w:tabs>
                <w:tab w:val="left" w:pos="459"/>
              </w:tabs>
              <w:spacing w:after="120" w:line="240" w:lineRule="auto"/>
              <w:ind w:left="1026" w:hanging="284"/>
              <w:contextualSpacing w:val="0"/>
              <w:jc w:val="both"/>
              <w:rPr>
                <w:rFonts w:ascii="Times New Roman" w:hAnsi="Times New Roman"/>
              </w:rPr>
            </w:pPr>
            <w:sdt>
              <w:sdtPr>
                <w:rPr>
                  <w:rFonts w:ascii="Times New Roman" w:eastAsia="MS Gothic" w:hAnsi="Times New Roman"/>
                  <w:sz w:val="20"/>
                  <w:szCs w:val="20"/>
                </w:rPr>
                <w:id w:val="-1197992691"/>
                <w14:checkbox>
                  <w14:checked w14:val="0"/>
                  <w14:checkedState w14:val="2612" w14:font="MS Gothic"/>
                  <w14:uncheckedState w14:val="2610" w14:font="MS Gothic"/>
                </w14:checkbox>
              </w:sdtPr>
              <w:sdtEndPr/>
              <w:sdtContent>
                <w:r w:rsidR="0080710A" w:rsidRPr="0075656B">
                  <w:rPr>
                    <w:rFonts w:ascii="Segoe UI Symbol" w:eastAsia="MS Gothic" w:hAnsi="Segoe UI Symbol" w:cs="Segoe UI Symbol"/>
                    <w:sz w:val="20"/>
                    <w:szCs w:val="20"/>
                  </w:rPr>
                  <w:t>☐</w:t>
                </w:r>
              </w:sdtContent>
            </w:sdt>
            <w:r w:rsidR="0080710A" w:rsidRPr="0075656B" w:rsidDel="00806534">
              <w:rPr>
                <w:rFonts w:ascii="Times New Roman" w:eastAsia="MS Gothic" w:hAnsi="Times New Roman"/>
                <w:sz w:val="16"/>
                <w:szCs w:val="16"/>
              </w:rPr>
              <w:t xml:space="preserve"> </w:t>
            </w:r>
            <w:r w:rsidR="0080710A" w:rsidRPr="0075656B">
              <w:rPr>
                <w:rFonts w:ascii="Times New Roman" w:eastAsia="MS Gothic" w:hAnsi="Times New Roman"/>
                <w:sz w:val="16"/>
                <w:szCs w:val="16"/>
              </w:rPr>
              <w:t xml:space="preserve">указанный счет не предназначен для использования в процессе оказания </w:t>
            </w:r>
            <w:r w:rsidR="000D0CD7" w:rsidRPr="0075656B">
              <w:rPr>
                <w:rFonts w:ascii="Times New Roman" w:eastAsia="MS Gothic" w:hAnsi="Times New Roman"/>
                <w:sz w:val="16"/>
                <w:szCs w:val="16"/>
              </w:rPr>
              <w:t>Депоненту</w:t>
            </w:r>
            <w:r w:rsidR="0080710A" w:rsidRPr="0075656B">
              <w:rPr>
                <w:rFonts w:ascii="Times New Roman" w:eastAsia="MS Gothic" w:hAnsi="Times New Roman"/>
                <w:sz w:val="16"/>
                <w:szCs w:val="16"/>
              </w:rPr>
              <w:t xml:space="preserve"> со стороны </w:t>
            </w:r>
            <w:r w:rsidR="006B136A">
              <w:rPr>
                <w:rFonts w:ascii="Times New Roman" w:eastAsia="MS Gothic" w:hAnsi="Times New Roman"/>
                <w:sz w:val="16"/>
                <w:szCs w:val="16"/>
              </w:rPr>
              <w:t>Акционерного общества «Инвестиционная компания «Горизонт»</w:t>
            </w:r>
            <w:r w:rsidR="0080710A" w:rsidRPr="0075656B">
              <w:rPr>
                <w:rFonts w:ascii="Times New Roman" w:eastAsia="MS Gothic" w:hAnsi="Times New Roman"/>
                <w:sz w:val="16"/>
                <w:szCs w:val="16"/>
              </w:rPr>
              <w:t xml:space="preserve"> брокерских услуг (операции по такому счету не проводятся на основании документов, полученных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0080710A" w:rsidRPr="0075656B">
              <w:rPr>
                <w:rFonts w:ascii="Times New Roman" w:eastAsia="MS Gothic" w:hAnsi="Times New Roman"/>
                <w:sz w:val="16"/>
                <w:szCs w:val="16"/>
              </w:rPr>
              <w:t>в рамках оказания Депоненту брокерских услуг)</w:t>
            </w:r>
          </w:p>
          <w:p w14:paraId="5FC8AE87" w14:textId="5790A3F3"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За исключением случая, когда Заявитель указал, что открытый на основании настоящего Заявления торговый счет депо доверительного управляющего не предназначен для использования в процессе оказания Заявителю со стороны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брокерских услуг,</w:t>
            </w:r>
          </w:p>
          <w:p w14:paraId="30DC54EC" w14:textId="77777777"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но при условии, что ниже отсутствует указание Заявителя использовать открытый на основании настоящего Заявления торговый счет депо доверительного управляющего в рамках оказания Депоненту брокерских услуг на основании иного Договора о Брокерском обслуживании,</w:t>
            </w:r>
          </w:p>
          <w:p w14:paraId="0FB2C072" w14:textId="77777777" w:rsidR="00ED50A6" w:rsidRPr="0075656B" w:rsidRDefault="00ED50A6" w:rsidP="00ED50A6">
            <w:pPr>
              <w:pStyle w:val="a4"/>
              <w:tabs>
                <w:tab w:val="left" w:pos="459"/>
              </w:tabs>
              <w:spacing w:after="120" w:line="240" w:lineRule="auto"/>
              <w:ind w:left="457"/>
              <w:contextualSpacing w:val="0"/>
              <w:jc w:val="both"/>
              <w:rPr>
                <w:rFonts w:ascii="Times New Roman" w:eastAsia="MS Gothic" w:hAnsi="Times New Roman"/>
                <w:sz w:val="16"/>
                <w:szCs w:val="16"/>
              </w:rPr>
            </w:pPr>
            <w:r w:rsidRPr="0075656B">
              <w:rPr>
                <w:rFonts w:ascii="Times New Roman" w:eastAsia="MS Gothic" w:hAnsi="Times New Roman"/>
                <w:sz w:val="16"/>
                <w:szCs w:val="16"/>
              </w:rPr>
              <w:t xml:space="preserve">присоединяясь к Депозитарному договору, Заявитель соглашается с тем, что Депозитарий использует в качестве оснований для совершения Депозитарных операций по открытому на основании настоящего Заявления торговому счету депо доверительного управляющего документы (в том числе поручения), полученные от Депонента в рамках оказания Депоненту брокерских услуг на основании Договора о Брокерском обслуживании, заключенного на основании Заявления о присоединении к Договору о Брокерском обслуживании, указанного в разделе </w:t>
            </w:r>
            <w:r w:rsidRPr="0075656B">
              <w:rPr>
                <w:rFonts w:ascii="Times New Roman" w:eastAsia="MS Gothic" w:hAnsi="Times New Roman"/>
                <w:sz w:val="16"/>
                <w:szCs w:val="16"/>
                <w:lang w:val="en-US"/>
              </w:rPr>
              <w:t>I</w:t>
            </w:r>
            <w:r w:rsidRPr="0075656B">
              <w:rPr>
                <w:rFonts w:ascii="Times New Roman" w:eastAsia="MS Gothic" w:hAnsi="Times New Roman"/>
                <w:sz w:val="16"/>
                <w:szCs w:val="16"/>
              </w:rPr>
              <w:t xml:space="preserve"> «Присоединение к Договору о брокерском обслуживании» настоящего Заявления.</w:t>
            </w:r>
          </w:p>
          <w:p w14:paraId="578D9FAB" w14:textId="1CC42EFB" w:rsidR="00ED50A6" w:rsidRPr="0075656B" w:rsidRDefault="00802E57" w:rsidP="00ED50A6">
            <w:pPr>
              <w:pStyle w:val="a4"/>
              <w:tabs>
                <w:tab w:val="left" w:pos="1134"/>
              </w:tabs>
              <w:spacing w:after="120" w:line="240" w:lineRule="auto"/>
              <w:ind w:left="442"/>
              <w:contextualSpacing w:val="0"/>
              <w:jc w:val="both"/>
              <w:rPr>
                <w:rFonts w:ascii="Times New Roman" w:eastAsia="MS Gothic" w:hAnsi="Times New Roman"/>
                <w:sz w:val="16"/>
                <w:szCs w:val="16"/>
              </w:rPr>
            </w:pPr>
            <w:sdt>
              <w:sdtPr>
                <w:rPr>
                  <w:rFonts w:ascii="Times New Roman" w:eastAsia="MS Gothic" w:hAnsi="Times New Roman"/>
                  <w:sz w:val="16"/>
                  <w:szCs w:val="16"/>
                </w:rPr>
                <w:id w:val="-458649118"/>
                <w14:checkbox>
                  <w14:checked w14:val="0"/>
                  <w14:checkedState w14:val="2612" w14:font="MS Gothic"/>
                  <w14:uncheckedState w14:val="2610" w14:font="MS Gothic"/>
                </w14:checkbox>
              </w:sdtPr>
              <w:sdtEndPr/>
              <w:sdtContent>
                <w:r w:rsidR="00ED50A6" w:rsidRPr="00D27A8F">
                  <w:rPr>
                    <w:rFonts w:ascii="Segoe UI Symbol" w:eastAsia="MS Gothic" w:hAnsi="Segoe UI Symbol" w:cs="Segoe UI Symbol"/>
                    <w:sz w:val="16"/>
                    <w:szCs w:val="16"/>
                  </w:rPr>
                  <w:t>☐</w:t>
                </w:r>
              </w:sdtContent>
            </w:sdt>
            <w:r w:rsidR="00ED50A6" w:rsidRPr="0075656B">
              <w:rPr>
                <w:rFonts w:ascii="Times New Roman" w:eastAsia="MS Gothic" w:hAnsi="Times New Roman"/>
                <w:sz w:val="16"/>
                <w:szCs w:val="16"/>
              </w:rPr>
              <w:t xml:space="preserve"> Настоящим даю указание </w:t>
            </w:r>
            <w:r w:rsidR="007A77D2">
              <w:rPr>
                <w:rFonts w:ascii="Times New Roman" w:eastAsia="MS Gothic" w:hAnsi="Times New Roman"/>
                <w:sz w:val="16"/>
                <w:szCs w:val="16"/>
              </w:rPr>
              <w:t>Акционерному обществу «Инвестиционная компания «Горизонт»</w:t>
            </w:r>
            <w:r w:rsidR="007A77D2" w:rsidRPr="0075656B">
              <w:rPr>
                <w:rFonts w:ascii="Times New Roman" w:eastAsia="MS Gothic" w:hAnsi="Times New Roman"/>
                <w:sz w:val="16"/>
                <w:szCs w:val="16"/>
              </w:rPr>
              <w:t xml:space="preserve"> </w:t>
            </w:r>
            <w:r w:rsidR="00ED50A6" w:rsidRPr="0075656B">
              <w:rPr>
                <w:rFonts w:ascii="Times New Roman" w:eastAsia="MS Gothic" w:hAnsi="Times New Roman"/>
                <w:sz w:val="16"/>
                <w:szCs w:val="16"/>
              </w:rPr>
              <w:t xml:space="preserve">использовать в качестве оснований для совершения Депозитарных операций по открытому на основании настоящего Заявления торговому счету депо доверительного </w:t>
            </w:r>
            <w:r w:rsidR="00D529F8" w:rsidRPr="0075656B">
              <w:rPr>
                <w:rFonts w:ascii="Times New Roman" w:eastAsia="MS Gothic" w:hAnsi="Times New Roman"/>
                <w:sz w:val="16"/>
                <w:szCs w:val="16"/>
              </w:rPr>
              <w:t>управляющего</w:t>
            </w:r>
            <w:r w:rsidR="00ED50A6" w:rsidRPr="0075656B">
              <w:rPr>
                <w:rFonts w:ascii="Times New Roman" w:eastAsia="MS Gothic" w:hAnsi="Times New Roman"/>
                <w:sz w:val="16"/>
                <w:szCs w:val="16"/>
              </w:rPr>
              <w:t xml:space="preserve"> документы (в том числе поручения), полученные от Депонента в рамках оказания Депоненту брокерских услуг на основании</w:t>
            </w:r>
            <w:r w:rsidR="00810415" w:rsidRPr="0075656B">
              <w:rPr>
                <w:rFonts w:ascii="Times New Roman" w:eastAsia="MS Gothic" w:hAnsi="Times New Roman"/>
                <w:sz w:val="16"/>
                <w:szCs w:val="16"/>
              </w:rPr>
              <w:t xml:space="preserve"> Договора</w:t>
            </w:r>
            <w:r w:rsidR="00ED50A6" w:rsidRPr="0075656B">
              <w:rPr>
                <w:rFonts w:ascii="Times New Roman" w:eastAsia="MS Gothic" w:hAnsi="Times New Roman"/>
                <w:sz w:val="16"/>
                <w:szCs w:val="16"/>
              </w:rPr>
              <w:t xml:space="preserve"> о </w:t>
            </w:r>
            <w:r w:rsidR="00957788" w:rsidRPr="0075656B">
              <w:rPr>
                <w:rFonts w:ascii="Times New Roman" w:eastAsia="MS Gothic" w:hAnsi="Times New Roman"/>
                <w:sz w:val="16"/>
                <w:szCs w:val="16"/>
              </w:rPr>
              <w:t>б</w:t>
            </w:r>
            <w:r w:rsidR="00ED50A6" w:rsidRPr="0075656B">
              <w:rPr>
                <w:rFonts w:ascii="Times New Roman" w:eastAsia="MS Gothic" w:hAnsi="Times New Roman"/>
                <w:sz w:val="16"/>
                <w:szCs w:val="16"/>
              </w:rPr>
              <w:t xml:space="preserve">рокерском обслуживании № </w:t>
            </w:r>
            <w:r w:rsidR="00ED50A6" w:rsidRPr="0075656B">
              <w:rPr>
                <w:rFonts w:ascii="Times New Roman" w:eastAsia="MS Gothic" w:hAnsi="Times New Roman"/>
                <w:sz w:val="16"/>
                <w:szCs w:val="16"/>
              </w:rPr>
              <w:fldChar w:fldCharType="begin">
                <w:ffData>
                  <w:name w:val="ТекстовоеПоле1"/>
                  <w:enabled/>
                  <w:calcOnExit w:val="0"/>
                  <w:textInput/>
                </w:ffData>
              </w:fldChar>
            </w:r>
            <w:r w:rsidR="00ED50A6" w:rsidRPr="0075656B">
              <w:rPr>
                <w:rFonts w:ascii="Times New Roman" w:eastAsia="MS Gothic" w:hAnsi="Times New Roman"/>
                <w:sz w:val="16"/>
                <w:szCs w:val="16"/>
              </w:rPr>
              <w:instrText xml:space="preserve"> FORMTEXT </w:instrText>
            </w:r>
            <w:r w:rsidR="00ED50A6" w:rsidRPr="0075656B">
              <w:rPr>
                <w:rFonts w:ascii="Times New Roman" w:eastAsia="MS Gothic" w:hAnsi="Times New Roman"/>
                <w:sz w:val="16"/>
                <w:szCs w:val="16"/>
              </w:rPr>
            </w:r>
            <w:r w:rsidR="00ED50A6" w:rsidRPr="0075656B">
              <w:rPr>
                <w:rFonts w:ascii="Times New Roman" w:eastAsia="MS Gothic" w:hAnsi="Times New Roman"/>
                <w:sz w:val="16"/>
                <w:szCs w:val="16"/>
              </w:rPr>
              <w:fldChar w:fldCharType="separate"/>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fldChar w:fldCharType="end"/>
            </w:r>
            <w:r w:rsidR="00ED50A6" w:rsidRPr="0075656B">
              <w:rPr>
                <w:rFonts w:ascii="Times New Roman" w:eastAsia="MS Gothic" w:hAnsi="Times New Roman"/>
                <w:sz w:val="16"/>
                <w:szCs w:val="16"/>
              </w:rPr>
              <w:t xml:space="preserve">от </w:t>
            </w:r>
            <w:r w:rsidR="00ED50A6" w:rsidRPr="0075656B">
              <w:rPr>
                <w:rFonts w:ascii="Times New Roman" w:eastAsia="MS Gothic" w:hAnsi="Times New Roman"/>
                <w:sz w:val="16"/>
                <w:szCs w:val="16"/>
              </w:rPr>
              <w:fldChar w:fldCharType="begin">
                <w:ffData>
                  <w:name w:val=""/>
                  <w:enabled/>
                  <w:calcOnExit w:val="0"/>
                  <w:textInput>
                    <w:type w:val="date"/>
                    <w:format w:val="dd.MM.yyyy"/>
                  </w:textInput>
                </w:ffData>
              </w:fldChar>
            </w:r>
            <w:r w:rsidR="00ED50A6" w:rsidRPr="0075656B">
              <w:rPr>
                <w:rFonts w:ascii="Times New Roman" w:eastAsia="MS Gothic" w:hAnsi="Times New Roman"/>
                <w:sz w:val="16"/>
                <w:szCs w:val="16"/>
              </w:rPr>
              <w:instrText xml:space="preserve"> FORMTEXT </w:instrText>
            </w:r>
            <w:r w:rsidR="00ED50A6" w:rsidRPr="0075656B">
              <w:rPr>
                <w:rFonts w:ascii="Times New Roman" w:eastAsia="MS Gothic" w:hAnsi="Times New Roman"/>
                <w:sz w:val="16"/>
                <w:szCs w:val="16"/>
              </w:rPr>
            </w:r>
            <w:r w:rsidR="00ED50A6" w:rsidRPr="0075656B">
              <w:rPr>
                <w:rFonts w:ascii="Times New Roman" w:eastAsia="MS Gothic" w:hAnsi="Times New Roman"/>
                <w:sz w:val="16"/>
                <w:szCs w:val="16"/>
              </w:rPr>
              <w:fldChar w:fldCharType="separate"/>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t> </w:t>
            </w:r>
            <w:r w:rsidR="00ED50A6" w:rsidRPr="0075656B">
              <w:rPr>
                <w:rFonts w:ascii="Times New Roman" w:eastAsia="MS Gothic" w:hAnsi="Times New Roman"/>
                <w:sz w:val="16"/>
                <w:szCs w:val="16"/>
              </w:rPr>
              <w:fldChar w:fldCharType="end"/>
            </w:r>
            <w:r w:rsidR="00ED50A6" w:rsidRPr="0075656B">
              <w:rPr>
                <w:rFonts w:ascii="Times New Roman" w:eastAsia="MS Gothic" w:hAnsi="Times New Roman"/>
                <w:sz w:val="16"/>
                <w:szCs w:val="16"/>
              </w:rPr>
              <w:t>.</w:t>
            </w:r>
          </w:p>
          <w:p w14:paraId="6F333D2F" w14:textId="77777777" w:rsidR="0005386A" w:rsidRPr="0075656B" w:rsidRDefault="0005386A" w:rsidP="00EA2B20">
            <w:pPr>
              <w:pStyle w:val="a4"/>
              <w:tabs>
                <w:tab w:val="left" w:pos="459"/>
              </w:tabs>
              <w:spacing w:after="120" w:line="240" w:lineRule="auto"/>
              <w:ind w:left="743" w:hanging="284"/>
              <w:contextualSpacing w:val="0"/>
              <w:jc w:val="both"/>
              <w:rPr>
                <w:rFonts w:ascii="Times New Roman" w:eastAsia="MS Gothic" w:hAnsi="Times New Roman"/>
                <w:sz w:val="16"/>
                <w:szCs w:val="16"/>
              </w:rPr>
            </w:pPr>
          </w:p>
        </w:tc>
      </w:tr>
    </w:tbl>
    <w:p w14:paraId="0D6E45C6" w14:textId="77777777" w:rsidR="000B6B66" w:rsidRPr="0075656B" w:rsidRDefault="000B6B66" w:rsidP="00E11D62">
      <w:pPr>
        <w:pStyle w:val="a4"/>
        <w:tabs>
          <w:tab w:val="left" w:pos="1134"/>
        </w:tabs>
        <w:spacing w:after="120" w:line="240" w:lineRule="auto"/>
        <w:contextualSpacing w:val="0"/>
        <w:jc w:val="both"/>
        <w:rPr>
          <w:rFonts w:ascii="Times New Roman" w:eastAsia="MS Gothic" w:hAnsi="Times New Roman"/>
          <w:sz w:val="16"/>
          <w:szCs w:val="16"/>
        </w:rPr>
      </w:pPr>
    </w:p>
    <w:tbl>
      <w:tblPr>
        <w:tblStyle w:val="af6"/>
        <w:tblW w:w="0" w:type="auto"/>
        <w:tblInd w:w="-5" w:type="dxa"/>
        <w:tblLook w:val="04A0" w:firstRow="1" w:lastRow="0" w:firstColumn="1" w:lastColumn="0" w:noHBand="0" w:noVBand="1"/>
      </w:tblPr>
      <w:tblGrid>
        <w:gridCol w:w="9351"/>
      </w:tblGrid>
      <w:tr w:rsidR="009B66A6" w:rsidRPr="00D27A8F" w14:paraId="3A0A3B25" w14:textId="77777777" w:rsidTr="00962C9F">
        <w:trPr>
          <w:trHeight w:val="1130"/>
        </w:trPr>
        <w:tc>
          <w:tcPr>
            <w:tcW w:w="9351" w:type="dxa"/>
          </w:tcPr>
          <w:p w14:paraId="5A776CE2" w14:textId="77777777" w:rsidR="009B66A6" w:rsidRPr="0075656B" w:rsidRDefault="009B66A6" w:rsidP="009B66A6">
            <w:pPr>
              <w:autoSpaceDE w:val="0"/>
              <w:autoSpaceDN w:val="0"/>
              <w:adjustRightInd w:val="0"/>
              <w:spacing w:after="0" w:line="240" w:lineRule="auto"/>
              <w:jc w:val="both"/>
              <w:rPr>
                <w:rFonts w:ascii="Times New Roman" w:eastAsiaTheme="minorHAnsi" w:hAnsi="Times New Roman"/>
                <w:i/>
                <w:iCs/>
                <w:sz w:val="16"/>
                <w:szCs w:val="16"/>
              </w:rPr>
            </w:pPr>
            <w:r w:rsidRPr="0075656B">
              <w:rPr>
                <w:rFonts w:ascii="Times New Roman" w:eastAsia="MS Gothic" w:hAnsi="Times New Roman"/>
                <w:i/>
                <w:sz w:val="16"/>
                <w:szCs w:val="16"/>
              </w:rPr>
              <w:t xml:space="preserve">Блок предназначен доверительным управляющим, осуществляющим </w:t>
            </w:r>
            <w:r w:rsidRPr="0075656B">
              <w:rPr>
                <w:rFonts w:ascii="Times New Roman" w:eastAsiaTheme="minorHAnsi" w:hAnsi="Times New Roman"/>
                <w:i/>
                <w:iCs/>
                <w:sz w:val="16"/>
                <w:szCs w:val="16"/>
              </w:rPr>
              <w:t>деятельность по управлению ценными бумагами, если она связана исключительно с осуществлением управляющим прав по ценным бумагам.</w:t>
            </w:r>
          </w:p>
          <w:p w14:paraId="3298FD88" w14:textId="77777777" w:rsidR="009B66A6" w:rsidRPr="0075656B" w:rsidRDefault="009B66A6" w:rsidP="009B66A6">
            <w:pPr>
              <w:tabs>
                <w:tab w:val="left" w:pos="1134"/>
              </w:tabs>
              <w:spacing w:after="120" w:line="240" w:lineRule="auto"/>
              <w:jc w:val="both"/>
              <w:rPr>
                <w:rFonts w:ascii="Times New Roman" w:eastAsia="MS Gothic" w:hAnsi="Times New Roman"/>
                <w:i/>
                <w:sz w:val="16"/>
                <w:szCs w:val="16"/>
              </w:rPr>
            </w:pPr>
          </w:p>
          <w:p w14:paraId="324325AC" w14:textId="77777777" w:rsidR="009B66A6" w:rsidRPr="0075656B" w:rsidRDefault="009B66A6" w:rsidP="009B66A6">
            <w:pPr>
              <w:pStyle w:val="a4"/>
              <w:spacing w:after="120" w:line="240" w:lineRule="auto"/>
              <w:ind w:left="443"/>
              <w:contextualSpacing w:val="0"/>
              <w:jc w:val="both"/>
              <w:rPr>
                <w:rFonts w:ascii="Times New Roman" w:eastAsia="MS Gothic" w:hAnsi="Times New Roman"/>
                <w:sz w:val="16"/>
                <w:szCs w:val="16"/>
              </w:rPr>
            </w:pPr>
            <w:r w:rsidRPr="0075656B">
              <w:rPr>
                <w:rFonts w:ascii="Times New Roman" w:eastAsia="MS Gothic" w:hAnsi="Times New Roman"/>
                <w:sz w:val="16"/>
                <w:szCs w:val="16"/>
              </w:rPr>
              <w:t>Присоединяясь к Депозитарному договору Депонент</w:t>
            </w:r>
          </w:p>
          <w:p w14:paraId="5508F41A" w14:textId="77777777" w:rsidR="009B66A6" w:rsidRPr="0075656B" w:rsidRDefault="00802E57" w:rsidP="009B66A6">
            <w:pPr>
              <w:pStyle w:val="a4"/>
              <w:tabs>
                <w:tab w:val="left" w:pos="459"/>
              </w:tabs>
              <w:spacing w:after="120" w:line="240" w:lineRule="auto"/>
              <w:ind w:left="743" w:hanging="284"/>
              <w:contextualSpacing w:val="0"/>
              <w:jc w:val="both"/>
              <w:rPr>
                <w:rFonts w:ascii="Times New Roman" w:eastAsia="MS Gothic" w:hAnsi="Times New Roman"/>
                <w:sz w:val="16"/>
                <w:szCs w:val="16"/>
              </w:rPr>
            </w:pPr>
            <w:sdt>
              <w:sdtPr>
                <w:rPr>
                  <w:rFonts w:ascii="Times New Roman" w:eastAsia="MS Gothic" w:hAnsi="Times New Roman"/>
                  <w:sz w:val="20"/>
                  <w:szCs w:val="20"/>
                </w:rPr>
                <w:id w:val="-1555609148"/>
                <w14:checkbox>
                  <w14:checked w14:val="0"/>
                  <w14:checkedState w14:val="2612" w14:font="MS Gothic"/>
                  <w14:uncheckedState w14:val="2610" w14:font="MS Gothic"/>
                </w14:checkbox>
              </w:sdtPr>
              <w:sdtEndPr/>
              <w:sdtContent>
                <w:r w:rsidR="009B66A6" w:rsidRPr="0075656B">
                  <w:rPr>
                    <w:rFonts w:ascii="Segoe UI Symbol" w:eastAsia="MS Gothic" w:hAnsi="Segoe UI Symbol" w:cs="Segoe UI Symbol"/>
                    <w:sz w:val="20"/>
                    <w:szCs w:val="20"/>
                  </w:rPr>
                  <w:t>☐</w:t>
                </w:r>
              </w:sdtContent>
            </w:sdt>
            <w:r w:rsidR="009B66A6" w:rsidRPr="0075656B" w:rsidDel="00806534">
              <w:rPr>
                <w:rFonts w:ascii="Times New Roman" w:eastAsia="MS Gothic" w:hAnsi="Times New Roman"/>
                <w:sz w:val="16"/>
                <w:szCs w:val="16"/>
              </w:rPr>
              <w:t xml:space="preserve"> </w:t>
            </w:r>
            <w:r w:rsidR="009B66A6" w:rsidRPr="0075656B">
              <w:rPr>
                <w:rFonts w:ascii="Times New Roman" w:eastAsia="MS Gothic" w:hAnsi="Times New Roman"/>
                <w:sz w:val="16"/>
                <w:szCs w:val="16"/>
              </w:rPr>
              <w:t>дает Депозитарию поручение на открытие счета депо доверительного управляющего. Такое поручение исполняется Депозитарием в дату направления Депоненту уведомления о заключении с ним Депозитарного договора</w:t>
            </w:r>
            <w:r w:rsidR="000B0572" w:rsidRPr="0075656B">
              <w:rPr>
                <w:rFonts w:ascii="Times New Roman" w:eastAsia="MS Gothic" w:hAnsi="Times New Roman"/>
                <w:sz w:val="16"/>
                <w:szCs w:val="16"/>
              </w:rPr>
              <w:t xml:space="preserve"> (</w:t>
            </w:r>
            <w:r w:rsidR="000B0572" w:rsidRPr="0075656B">
              <w:rPr>
                <w:rFonts w:ascii="Times New Roman" w:eastAsia="MS Gothic" w:hAnsi="Times New Roman"/>
                <w:i/>
                <w:sz w:val="16"/>
                <w:szCs w:val="16"/>
              </w:rPr>
              <w:t>счет депо доверительного управляющего, осуществляющего деятельность по договору доверительного управления, связанную исключительно с осуществлением прав по ценным бумагам, открывается при предоставлении оригинала или удостоверенной нотариусом копии такого договора доверительного управления</w:t>
            </w:r>
            <w:r w:rsidR="000B0572" w:rsidRPr="0075656B">
              <w:rPr>
                <w:rFonts w:ascii="Times New Roman" w:eastAsia="MS Gothic" w:hAnsi="Times New Roman"/>
                <w:sz w:val="16"/>
                <w:szCs w:val="16"/>
              </w:rPr>
              <w:t>)</w:t>
            </w:r>
            <w:r w:rsidR="009B66A6" w:rsidRPr="0075656B">
              <w:rPr>
                <w:rFonts w:ascii="Times New Roman" w:eastAsia="MS Gothic" w:hAnsi="Times New Roman"/>
                <w:sz w:val="16"/>
                <w:szCs w:val="16"/>
              </w:rPr>
              <w:t>.</w:t>
            </w:r>
          </w:p>
          <w:p w14:paraId="53896143" w14:textId="694878AE" w:rsidR="004957CE" w:rsidRPr="0075656B" w:rsidRDefault="004957CE" w:rsidP="00962C9F">
            <w:pPr>
              <w:tabs>
                <w:tab w:val="left" w:pos="459"/>
              </w:tabs>
              <w:spacing w:after="120" w:line="240" w:lineRule="auto"/>
              <w:ind w:left="462"/>
              <w:jc w:val="both"/>
              <w:rPr>
                <w:rFonts w:ascii="Times New Roman" w:eastAsia="MS Gothic" w:hAnsi="Times New Roman"/>
                <w:sz w:val="16"/>
                <w:szCs w:val="16"/>
              </w:rPr>
            </w:pPr>
            <w:r w:rsidRPr="0075656B">
              <w:rPr>
                <w:rFonts w:ascii="Times New Roman" w:eastAsia="MS Gothic" w:hAnsi="Times New Roman"/>
                <w:sz w:val="16"/>
                <w:szCs w:val="16"/>
              </w:rPr>
              <w:t xml:space="preserve">Открытый на основании настоящего поручения счет не предназначен для использования в процессе оказания Депоненту со стороны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брокерских услуг (операции по такому счету не проводятся на основании документов, полученных </w:t>
            </w:r>
            <w:r w:rsidR="00AD580D">
              <w:rPr>
                <w:rFonts w:ascii="Times New Roman" w:eastAsia="MS Gothic" w:hAnsi="Times New Roman"/>
                <w:sz w:val="16"/>
                <w:szCs w:val="16"/>
              </w:rPr>
              <w:t>Акционерным обществом «Инвестиционная компания «Горизонт»</w:t>
            </w:r>
            <w:r w:rsidRPr="0075656B">
              <w:rPr>
                <w:rFonts w:ascii="Times New Roman" w:eastAsia="MS Gothic" w:hAnsi="Times New Roman"/>
                <w:sz w:val="16"/>
                <w:szCs w:val="16"/>
              </w:rPr>
              <w:t xml:space="preserve"> в рамках оказания Депоненту брокерских услуг)</w:t>
            </w:r>
          </w:p>
          <w:p w14:paraId="58651CAF" w14:textId="77777777" w:rsidR="009B66A6" w:rsidRPr="0075656B" w:rsidRDefault="009B66A6" w:rsidP="00962C9F">
            <w:pPr>
              <w:spacing w:after="120" w:line="240" w:lineRule="auto"/>
              <w:jc w:val="both"/>
              <w:rPr>
                <w:rFonts w:ascii="Times New Roman" w:eastAsia="MS Gothic" w:hAnsi="Times New Roman"/>
                <w:sz w:val="16"/>
                <w:szCs w:val="16"/>
              </w:rPr>
            </w:pPr>
          </w:p>
        </w:tc>
      </w:tr>
    </w:tbl>
    <w:p w14:paraId="358BBE8D" w14:textId="77777777" w:rsidR="009B66A6" w:rsidRPr="0075656B" w:rsidRDefault="009B66A6" w:rsidP="00E11D62">
      <w:pPr>
        <w:pStyle w:val="a4"/>
        <w:tabs>
          <w:tab w:val="left" w:pos="1134"/>
        </w:tabs>
        <w:spacing w:after="120" w:line="240" w:lineRule="auto"/>
        <w:contextualSpacing w:val="0"/>
        <w:jc w:val="both"/>
        <w:rPr>
          <w:rFonts w:ascii="Times New Roman" w:eastAsia="MS Gothic" w:hAnsi="Times New Roman"/>
          <w:sz w:val="16"/>
          <w:szCs w:val="16"/>
        </w:rPr>
      </w:pPr>
    </w:p>
    <w:p w14:paraId="4D1A0555" w14:textId="77777777" w:rsidR="0005386A" w:rsidRPr="0075656B" w:rsidRDefault="0005386A" w:rsidP="00E11D62">
      <w:pPr>
        <w:tabs>
          <w:tab w:val="left" w:pos="1134"/>
        </w:tabs>
        <w:spacing w:after="120"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Реквизиты для перечисления </w:t>
      </w:r>
      <w:r w:rsidR="005C4CC9" w:rsidRPr="0075656B">
        <w:rPr>
          <w:rFonts w:ascii="Times New Roman" w:eastAsia="MS Gothic" w:hAnsi="Times New Roman"/>
          <w:sz w:val="16"/>
          <w:szCs w:val="16"/>
        </w:rPr>
        <w:t>доходов</w:t>
      </w:r>
      <w:r w:rsidRPr="0075656B">
        <w:rPr>
          <w:rFonts w:ascii="Times New Roman" w:eastAsia="MS Gothic" w:hAnsi="Times New Roman"/>
          <w:sz w:val="16"/>
          <w:szCs w:val="16"/>
        </w:rPr>
        <w:t>:</w:t>
      </w:r>
    </w:p>
    <w:p w14:paraId="7A4B6D1C" w14:textId="77143A87" w:rsidR="00DE0A7E" w:rsidRPr="0075656B" w:rsidRDefault="0005386A" w:rsidP="00E11D62">
      <w:pPr>
        <w:tabs>
          <w:tab w:val="left" w:pos="1134"/>
        </w:tabs>
        <w:spacing w:after="120"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В случаях, когда Депонент заключил с </w:t>
      </w:r>
      <w:r w:rsidR="007A77D2">
        <w:rPr>
          <w:rFonts w:ascii="Times New Roman" w:eastAsia="MS Gothic" w:hAnsi="Times New Roman"/>
          <w:sz w:val="16"/>
          <w:szCs w:val="16"/>
        </w:rPr>
        <w:t>Акционерным обществом «Инвестиционная компания «Горизонт»</w:t>
      </w:r>
      <w:r w:rsidR="007A77D2"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Договор о </w:t>
      </w:r>
      <w:r w:rsidR="00957788" w:rsidRPr="0075656B">
        <w:rPr>
          <w:rFonts w:ascii="Times New Roman" w:eastAsia="MS Gothic" w:hAnsi="Times New Roman"/>
          <w:sz w:val="16"/>
          <w:szCs w:val="16"/>
        </w:rPr>
        <w:t>б</w:t>
      </w:r>
      <w:r w:rsidRPr="0075656B">
        <w:rPr>
          <w:rFonts w:ascii="Times New Roman" w:eastAsia="MS Gothic" w:hAnsi="Times New Roman"/>
          <w:sz w:val="16"/>
          <w:szCs w:val="16"/>
        </w:rPr>
        <w:t xml:space="preserve">рокерском обслуживании либо присоединился к Договору о </w:t>
      </w:r>
      <w:r w:rsidR="00957788" w:rsidRPr="0075656B">
        <w:rPr>
          <w:rFonts w:ascii="Times New Roman" w:eastAsia="MS Gothic" w:hAnsi="Times New Roman"/>
          <w:sz w:val="16"/>
          <w:szCs w:val="16"/>
        </w:rPr>
        <w:t>б</w:t>
      </w:r>
      <w:r w:rsidRPr="0075656B">
        <w:rPr>
          <w:rFonts w:ascii="Times New Roman" w:eastAsia="MS Gothic" w:hAnsi="Times New Roman"/>
          <w:sz w:val="16"/>
          <w:szCs w:val="16"/>
        </w:rPr>
        <w:t xml:space="preserve">рокерском обслуживании, </w:t>
      </w:r>
      <w:r w:rsidR="00775894" w:rsidRPr="0075656B">
        <w:rPr>
          <w:rFonts w:ascii="Times New Roman" w:eastAsia="MS Gothic" w:hAnsi="Times New Roman"/>
          <w:sz w:val="16"/>
          <w:szCs w:val="16"/>
        </w:rPr>
        <w:t>д</w:t>
      </w:r>
      <w:r w:rsidR="00DE0A7E" w:rsidRPr="0075656B">
        <w:rPr>
          <w:rFonts w:ascii="Times New Roman" w:eastAsia="MS Gothic" w:hAnsi="Times New Roman"/>
          <w:sz w:val="16"/>
          <w:szCs w:val="16"/>
        </w:rPr>
        <w:t>оходы по ценным бумагам, учитываемым</w:t>
      </w:r>
      <w:r w:rsidRPr="0075656B">
        <w:rPr>
          <w:rFonts w:ascii="Times New Roman" w:eastAsia="MS Gothic" w:hAnsi="Times New Roman"/>
          <w:sz w:val="16"/>
          <w:szCs w:val="16"/>
        </w:rPr>
        <w:t xml:space="preserve"> на счетах</w:t>
      </w:r>
      <w:r w:rsidR="00DE0A7E" w:rsidRPr="0075656B">
        <w:rPr>
          <w:rFonts w:ascii="Times New Roman" w:eastAsia="MS Gothic" w:hAnsi="Times New Roman"/>
          <w:sz w:val="16"/>
          <w:szCs w:val="16"/>
        </w:rPr>
        <w:t xml:space="preserve"> депо</w:t>
      </w:r>
      <w:r w:rsidRPr="0075656B">
        <w:rPr>
          <w:rFonts w:ascii="Times New Roman" w:eastAsia="MS Gothic" w:hAnsi="Times New Roman"/>
          <w:sz w:val="16"/>
          <w:szCs w:val="16"/>
        </w:rPr>
        <w:t xml:space="preserve">, открытым в Депозитарии, перечисляются на специальный </w:t>
      </w:r>
      <w:r w:rsidR="00DE0A7E" w:rsidRPr="0075656B">
        <w:rPr>
          <w:rFonts w:ascii="Times New Roman" w:eastAsia="MS Gothic" w:hAnsi="Times New Roman"/>
          <w:sz w:val="16"/>
          <w:szCs w:val="16"/>
        </w:rPr>
        <w:t xml:space="preserve">брокерский счет </w:t>
      </w:r>
      <w:r w:rsidR="006B136A">
        <w:rPr>
          <w:rFonts w:ascii="Times New Roman" w:eastAsia="MS Gothic" w:hAnsi="Times New Roman"/>
          <w:sz w:val="16"/>
          <w:szCs w:val="16"/>
        </w:rPr>
        <w:t>Акционерного общества «Инвестиционная компания «Горизонт»</w:t>
      </w:r>
      <w:r w:rsidRPr="0075656B">
        <w:rPr>
          <w:rFonts w:ascii="Times New Roman" w:eastAsia="MS Gothic" w:hAnsi="Times New Roman"/>
          <w:sz w:val="16"/>
          <w:szCs w:val="16"/>
        </w:rPr>
        <w:t xml:space="preserve">, при этом Депонент вправе изменить счет для получения </w:t>
      </w:r>
      <w:r w:rsidR="0025761F" w:rsidRPr="0075656B">
        <w:rPr>
          <w:rFonts w:ascii="Times New Roman" w:eastAsia="MS Gothic" w:hAnsi="Times New Roman"/>
          <w:sz w:val="16"/>
          <w:szCs w:val="16"/>
        </w:rPr>
        <w:t>доходов</w:t>
      </w:r>
      <w:r w:rsidRPr="0075656B">
        <w:rPr>
          <w:rFonts w:ascii="Times New Roman" w:eastAsia="MS Gothic" w:hAnsi="Times New Roman"/>
          <w:sz w:val="16"/>
          <w:szCs w:val="16"/>
        </w:rPr>
        <w:t xml:space="preserve">, направив в Депозитарий </w:t>
      </w:r>
      <w:r w:rsidR="008D090D" w:rsidRPr="0075656B">
        <w:rPr>
          <w:rFonts w:ascii="Times New Roman" w:eastAsia="MS Gothic" w:hAnsi="Times New Roman"/>
          <w:sz w:val="16"/>
          <w:szCs w:val="16"/>
        </w:rPr>
        <w:t>Информацию о счет</w:t>
      </w:r>
      <w:r w:rsidR="00780EA0" w:rsidRPr="0075656B">
        <w:rPr>
          <w:rFonts w:ascii="Times New Roman" w:eastAsia="MS Gothic" w:hAnsi="Times New Roman"/>
          <w:sz w:val="16"/>
          <w:szCs w:val="16"/>
        </w:rPr>
        <w:t>е</w:t>
      </w:r>
      <w:r w:rsidR="008D090D" w:rsidRPr="0075656B">
        <w:rPr>
          <w:rFonts w:ascii="Times New Roman" w:eastAsia="MS Gothic" w:hAnsi="Times New Roman"/>
          <w:sz w:val="16"/>
          <w:szCs w:val="16"/>
        </w:rPr>
        <w:t xml:space="preserve"> для перечисления дохода по форме Приложения № </w:t>
      </w:r>
      <w:r w:rsidR="00C0115E" w:rsidRPr="0075656B">
        <w:rPr>
          <w:rFonts w:ascii="Times New Roman" w:eastAsia="MS Gothic" w:hAnsi="Times New Roman"/>
          <w:sz w:val="16"/>
          <w:szCs w:val="16"/>
        </w:rPr>
        <w:t xml:space="preserve">2.13 </w:t>
      </w:r>
      <w:r w:rsidR="008D090D" w:rsidRPr="0075656B">
        <w:rPr>
          <w:rFonts w:ascii="Times New Roman" w:eastAsia="MS Gothic" w:hAnsi="Times New Roman"/>
          <w:sz w:val="16"/>
          <w:szCs w:val="16"/>
        </w:rPr>
        <w:t xml:space="preserve">к </w:t>
      </w:r>
      <w:r w:rsidR="00DF60CB" w:rsidRPr="0075656B">
        <w:rPr>
          <w:rFonts w:ascii="Times New Roman" w:eastAsia="MS Gothic" w:hAnsi="Times New Roman"/>
          <w:sz w:val="16"/>
          <w:szCs w:val="16"/>
        </w:rPr>
        <w:t>Условиям осуществления депозитарной деятельности</w:t>
      </w:r>
      <w:r w:rsidR="008D090D" w:rsidRPr="0075656B">
        <w:rPr>
          <w:rFonts w:ascii="Times New Roman" w:eastAsia="MS Gothic" w:hAnsi="Times New Roman"/>
          <w:sz w:val="16"/>
          <w:szCs w:val="16"/>
        </w:rPr>
        <w:t>.</w:t>
      </w:r>
    </w:p>
    <w:p w14:paraId="3AA5C634" w14:textId="5E164BE5" w:rsidR="008D090D" w:rsidRDefault="008D090D" w:rsidP="00E11D62">
      <w:pPr>
        <w:tabs>
          <w:tab w:val="left" w:pos="1134"/>
        </w:tabs>
        <w:spacing w:after="120" w:line="240" w:lineRule="auto"/>
        <w:jc w:val="both"/>
        <w:rPr>
          <w:rFonts w:ascii="Times New Roman" w:eastAsia="MS Gothic" w:hAnsi="Times New Roman"/>
          <w:sz w:val="16"/>
          <w:szCs w:val="16"/>
        </w:rPr>
      </w:pPr>
      <w:r w:rsidRPr="0075656B">
        <w:rPr>
          <w:rFonts w:ascii="Times New Roman" w:eastAsia="MS Gothic" w:hAnsi="Times New Roman"/>
          <w:sz w:val="16"/>
          <w:szCs w:val="16"/>
        </w:rPr>
        <w:t xml:space="preserve">В случаях, когда между Депонентом и </w:t>
      </w:r>
      <w:r w:rsidR="00B127FE">
        <w:rPr>
          <w:rFonts w:ascii="Times New Roman" w:eastAsia="MS Gothic" w:hAnsi="Times New Roman"/>
          <w:sz w:val="16"/>
          <w:szCs w:val="16"/>
        </w:rPr>
        <w:t>Акционерным обществом «Инвестиционная компания «Горизонт»</w:t>
      </w:r>
      <w:r w:rsidR="00B127FE" w:rsidRPr="0075656B">
        <w:rPr>
          <w:rFonts w:ascii="Times New Roman" w:eastAsia="MS Gothic" w:hAnsi="Times New Roman"/>
          <w:sz w:val="16"/>
          <w:szCs w:val="16"/>
        </w:rPr>
        <w:t xml:space="preserve"> </w:t>
      </w:r>
      <w:r w:rsidRPr="0075656B">
        <w:rPr>
          <w:rFonts w:ascii="Times New Roman" w:eastAsia="MS Gothic" w:hAnsi="Times New Roman"/>
          <w:sz w:val="16"/>
          <w:szCs w:val="16"/>
        </w:rPr>
        <w:t xml:space="preserve">не заключен Договор о </w:t>
      </w:r>
      <w:r w:rsidR="00957788" w:rsidRPr="0075656B">
        <w:rPr>
          <w:rFonts w:ascii="Times New Roman" w:eastAsia="MS Gothic" w:hAnsi="Times New Roman"/>
          <w:sz w:val="16"/>
          <w:szCs w:val="16"/>
        </w:rPr>
        <w:t>б</w:t>
      </w:r>
      <w:r w:rsidRPr="0075656B">
        <w:rPr>
          <w:rFonts w:ascii="Times New Roman" w:eastAsia="MS Gothic" w:hAnsi="Times New Roman"/>
          <w:sz w:val="16"/>
          <w:szCs w:val="16"/>
        </w:rPr>
        <w:t>рокерском обслуживании, доходы по ценным бумагам, учитываемы</w:t>
      </w:r>
      <w:r w:rsidR="00981C20" w:rsidRPr="0075656B">
        <w:rPr>
          <w:rFonts w:ascii="Times New Roman" w:eastAsia="MS Gothic" w:hAnsi="Times New Roman"/>
          <w:sz w:val="16"/>
          <w:szCs w:val="16"/>
        </w:rPr>
        <w:t>м</w:t>
      </w:r>
      <w:r w:rsidRPr="0075656B">
        <w:rPr>
          <w:rFonts w:ascii="Times New Roman" w:eastAsia="MS Gothic" w:hAnsi="Times New Roman"/>
          <w:sz w:val="16"/>
          <w:szCs w:val="16"/>
        </w:rPr>
        <w:t xml:space="preserve"> на счетах депо, открытым в Депозитарии, перечисляются на счет, реквизиты которого указаны в Анкете Депонент</w:t>
      </w:r>
      <w:r w:rsidR="0025761F" w:rsidRPr="0075656B">
        <w:rPr>
          <w:rFonts w:ascii="Times New Roman" w:eastAsia="MS Gothic" w:hAnsi="Times New Roman"/>
          <w:sz w:val="16"/>
          <w:szCs w:val="16"/>
        </w:rPr>
        <w:t>а</w:t>
      </w:r>
      <w:r w:rsidRPr="0075656B">
        <w:rPr>
          <w:rFonts w:ascii="Times New Roman" w:eastAsia="MS Gothic" w:hAnsi="Times New Roman"/>
          <w:sz w:val="16"/>
          <w:szCs w:val="16"/>
        </w:rPr>
        <w:t xml:space="preserve">, при этом Депонент вправе изменить счет для получения </w:t>
      </w:r>
      <w:r w:rsidR="0025761F" w:rsidRPr="0075656B">
        <w:rPr>
          <w:rFonts w:ascii="Times New Roman" w:eastAsia="MS Gothic" w:hAnsi="Times New Roman"/>
          <w:sz w:val="16"/>
          <w:szCs w:val="16"/>
        </w:rPr>
        <w:t>доходов</w:t>
      </w:r>
      <w:r w:rsidRPr="0075656B">
        <w:rPr>
          <w:rFonts w:ascii="Times New Roman" w:eastAsia="MS Gothic" w:hAnsi="Times New Roman"/>
          <w:sz w:val="16"/>
          <w:szCs w:val="16"/>
        </w:rPr>
        <w:t>, направив в Депозитарий Информацию о счет</w:t>
      </w:r>
      <w:r w:rsidR="00780EA0" w:rsidRPr="0075656B">
        <w:rPr>
          <w:rFonts w:ascii="Times New Roman" w:eastAsia="MS Gothic" w:hAnsi="Times New Roman"/>
          <w:sz w:val="16"/>
          <w:szCs w:val="16"/>
        </w:rPr>
        <w:t>е</w:t>
      </w:r>
      <w:r w:rsidRPr="0075656B">
        <w:rPr>
          <w:rFonts w:ascii="Times New Roman" w:eastAsia="MS Gothic" w:hAnsi="Times New Roman"/>
          <w:sz w:val="16"/>
          <w:szCs w:val="16"/>
        </w:rPr>
        <w:t xml:space="preserve"> для перечисления дохода по форме Приложения № </w:t>
      </w:r>
      <w:r w:rsidR="00C0115E" w:rsidRPr="0075656B">
        <w:rPr>
          <w:rFonts w:ascii="Times New Roman" w:eastAsia="MS Gothic" w:hAnsi="Times New Roman"/>
          <w:sz w:val="16"/>
          <w:szCs w:val="16"/>
        </w:rPr>
        <w:t xml:space="preserve">2.13 </w:t>
      </w:r>
      <w:r w:rsidRPr="0075656B">
        <w:rPr>
          <w:rFonts w:ascii="Times New Roman" w:eastAsia="MS Gothic" w:hAnsi="Times New Roman"/>
          <w:sz w:val="16"/>
          <w:szCs w:val="16"/>
        </w:rPr>
        <w:t xml:space="preserve">к </w:t>
      </w:r>
      <w:r w:rsidR="00DF60CB" w:rsidRPr="0075656B">
        <w:rPr>
          <w:rFonts w:ascii="Times New Roman" w:eastAsia="MS Gothic" w:hAnsi="Times New Roman"/>
          <w:sz w:val="16"/>
          <w:szCs w:val="16"/>
        </w:rPr>
        <w:t>Условиям осуществления депозитарной деятельности</w:t>
      </w:r>
      <w:r w:rsidRPr="0075656B">
        <w:rPr>
          <w:rFonts w:ascii="Times New Roman" w:eastAsia="MS Gothic" w:hAnsi="Times New Roman"/>
          <w:sz w:val="16"/>
          <w:szCs w:val="16"/>
        </w:rPr>
        <w:t>.</w:t>
      </w:r>
    </w:p>
    <w:p w14:paraId="3D6E6BE1" w14:textId="77777777" w:rsidR="005908C4" w:rsidRPr="000F5E38" w:rsidRDefault="005908C4" w:rsidP="005908C4">
      <w:pPr>
        <w:tabs>
          <w:tab w:val="left" w:pos="1134"/>
        </w:tabs>
        <w:spacing w:after="120" w:line="240" w:lineRule="auto"/>
        <w:jc w:val="both"/>
        <w:rPr>
          <w:rFonts w:ascii="Times New Roman" w:eastAsia="MS Gothic" w:hAnsi="Times New Roman"/>
          <w:b/>
          <w:i/>
          <w:sz w:val="16"/>
          <w:szCs w:val="16"/>
        </w:rPr>
      </w:pPr>
      <w:r w:rsidRPr="000F5E38">
        <w:rPr>
          <w:rFonts w:ascii="Times New Roman" w:eastAsia="MS Gothic" w:hAnsi="Times New Roman"/>
          <w:b/>
          <w:i/>
          <w:sz w:val="16"/>
          <w:szCs w:val="16"/>
        </w:rPr>
        <w:t>Информирование Депонента о рисках учета права на ценные бумаги иностранных эмитентов в иностранной организации, осуществляющей учет прав на ценные бумаги:</w:t>
      </w:r>
    </w:p>
    <w:p w14:paraId="502D5EE5" w14:textId="486F242D" w:rsidR="005908C4" w:rsidRPr="000F5E38" w:rsidRDefault="005908C4" w:rsidP="000F5E38">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xml:space="preserve">Система учета прав на ценные бумаги иностранных эмитентов предполагает открытие </w:t>
      </w:r>
      <w:r w:rsidR="00B127FE">
        <w:rPr>
          <w:rFonts w:ascii="Times New Roman" w:eastAsia="MS Gothic" w:hAnsi="Times New Roman"/>
          <w:sz w:val="16"/>
          <w:szCs w:val="16"/>
        </w:rPr>
        <w:t>АО</w:t>
      </w:r>
      <w:r w:rsidRPr="000F5E38">
        <w:rPr>
          <w:rFonts w:ascii="Times New Roman" w:eastAsia="MS Gothic" w:hAnsi="Times New Roman"/>
          <w:sz w:val="16"/>
          <w:szCs w:val="16"/>
        </w:rPr>
        <w:t xml:space="preserve"> «</w:t>
      </w:r>
      <w:r w:rsidR="00B127FE">
        <w:rPr>
          <w:rFonts w:ascii="Times New Roman" w:eastAsia="MS Gothic" w:hAnsi="Times New Roman"/>
          <w:sz w:val="16"/>
          <w:szCs w:val="16"/>
        </w:rPr>
        <w:t>И</w:t>
      </w:r>
      <w:r>
        <w:rPr>
          <w:rFonts w:ascii="Times New Roman" w:eastAsia="MS Gothic" w:hAnsi="Times New Roman"/>
          <w:sz w:val="16"/>
          <w:szCs w:val="16"/>
        </w:rPr>
        <w:t>К «Горизонт</w:t>
      </w:r>
      <w:r w:rsidRPr="000F5E38">
        <w:rPr>
          <w:rFonts w:ascii="Times New Roman" w:eastAsia="MS Gothic" w:hAnsi="Times New Roman"/>
          <w:sz w:val="16"/>
          <w:szCs w:val="16"/>
        </w:rPr>
        <w:t>», действующему в качестве депозитария, осуществляющего учет прав Депонента на ценные бумаги иностранных эмитентов, счета лица, действующего в интересах других лиц (далее – счет Депозитария). Такой счет открывается в иностранной организации, которая в соответствии с ее личным законом вправе осуществлять деятельность по учету прав на ценные бумаги (далее – иностранный депозитарий), если такая иностранная организация соответствует установленным Банком России критериям.</w:t>
      </w:r>
    </w:p>
    <w:p w14:paraId="779E4DF5" w14:textId="77777777" w:rsidR="005908C4" w:rsidRPr="000F5E38" w:rsidRDefault="005908C4" w:rsidP="000F5E38">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В общем смысле риск представляет собой возможность возникновения убытков, которые могут возникнут в связи с учетом ценных бумаг иностранных эмитентов на счете Депозитария в иностранном депозитарии.</w:t>
      </w:r>
    </w:p>
    <w:p w14:paraId="0F2196E2" w14:textId="77777777" w:rsidR="005908C4" w:rsidRPr="000F5E38" w:rsidRDefault="005908C4" w:rsidP="000F5E38">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Депоненту, являющемуся владельцем ценных бумаг иностранных эмитентов либо планирующему приобрести такие ценные бумаги, следует учитывать следующие риски, главной причиной реализации которых является геополитическая ситуация и возможное введение со стороны иностранных государств или международных организаций ограничительных мер в отношении граждан Российской Федерации и российских юридических лиц, в том числе в отношении Депозитария:</w:t>
      </w:r>
    </w:p>
    <w:p w14:paraId="16A61EB7"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риск ограничения права владельца на распоряжение ценными бумагами иностранных эмитентов;</w:t>
      </w:r>
    </w:p>
    <w:p w14:paraId="7DF5184F"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риск невозможности осуществления или затруднение в осуществлении владельцем прав, удостоверяемых ценными бумагами иностранных эмитентов;</w:t>
      </w:r>
    </w:p>
    <w:p w14:paraId="3EB299FE"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риск неполучения владельцем дивидендов, купонных и иных выплат по ценным бумагам иностранных эмитентов;</w:t>
      </w:r>
    </w:p>
    <w:p w14:paraId="64CA7286"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риск ограничения права владельца на распоряжение денежными средствами, полученными по ценным бумагам иностранных эмитентов;</w:t>
      </w:r>
    </w:p>
    <w:p w14:paraId="459862EF"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риск неисполнения эмитентами иностранных ценных бумаг (лицами, обязанными по ценным бумагам) своих обязательств перед отдельными владельцами ценных бумаг.</w:t>
      </w:r>
    </w:p>
    <w:p w14:paraId="02184604" w14:textId="77777777"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Депоненту следует учитывать, что указанный перечень рисков не является исчерпывающим.</w:t>
      </w:r>
    </w:p>
    <w:p w14:paraId="7842BD19" w14:textId="24FAE3B2" w:rsidR="005908C4" w:rsidRPr="000F5E38" w:rsidRDefault="005908C4" w:rsidP="005908C4">
      <w:pPr>
        <w:tabs>
          <w:tab w:val="left" w:pos="1134"/>
        </w:tabs>
        <w:spacing w:after="120" w:line="240" w:lineRule="auto"/>
        <w:jc w:val="both"/>
        <w:rPr>
          <w:rFonts w:ascii="Times New Roman" w:eastAsia="MS Gothic" w:hAnsi="Times New Roman"/>
          <w:sz w:val="16"/>
          <w:szCs w:val="16"/>
        </w:rPr>
      </w:pPr>
      <w:r w:rsidRPr="000F5E38">
        <w:rPr>
          <w:rFonts w:ascii="Times New Roman" w:eastAsia="MS Gothic" w:hAnsi="Times New Roman"/>
          <w:sz w:val="16"/>
          <w:szCs w:val="16"/>
        </w:rPr>
        <w:t xml:space="preserve">Депоненту следует принять во вниманием, что в случае реализации вышеуказанных рисков, </w:t>
      </w:r>
      <w:r w:rsidR="00B127FE">
        <w:rPr>
          <w:rFonts w:ascii="Times New Roman" w:eastAsia="MS Gothic" w:hAnsi="Times New Roman"/>
          <w:sz w:val="16"/>
          <w:szCs w:val="16"/>
        </w:rPr>
        <w:t>А</w:t>
      </w:r>
      <w:r w:rsidRPr="000F5E38">
        <w:rPr>
          <w:rFonts w:ascii="Times New Roman" w:eastAsia="MS Gothic" w:hAnsi="Times New Roman"/>
          <w:sz w:val="16"/>
          <w:szCs w:val="16"/>
        </w:rPr>
        <w:t>О «</w:t>
      </w:r>
      <w:r w:rsidR="00B127FE">
        <w:rPr>
          <w:rFonts w:ascii="Times New Roman" w:eastAsia="MS Gothic" w:hAnsi="Times New Roman"/>
          <w:sz w:val="16"/>
          <w:szCs w:val="16"/>
        </w:rPr>
        <w:t>И</w:t>
      </w:r>
      <w:r>
        <w:rPr>
          <w:rFonts w:ascii="Times New Roman" w:eastAsia="MS Gothic" w:hAnsi="Times New Roman"/>
          <w:sz w:val="16"/>
          <w:szCs w:val="16"/>
        </w:rPr>
        <w:t>К «Горизонт</w:t>
      </w:r>
      <w:r w:rsidRPr="000F5E38">
        <w:rPr>
          <w:rFonts w:ascii="Times New Roman" w:eastAsia="MS Gothic" w:hAnsi="Times New Roman"/>
          <w:sz w:val="16"/>
          <w:szCs w:val="16"/>
        </w:rPr>
        <w:t>», иные российские инфраструктурные организации, включая, но не ограничиваясь, организации, обеспечивающие/осуществляющие депозитарные и расчетные процедуры/операции, клиринговые процедуры/операции, организации – места хранения ценных бумаг, иные вышестоящие учётные, расчетные, клиринговые институты (организации), не несут ответственности перед Депонентом за убытки, возникшие у Депонента, и не могут быть привлечены к ответственности Депонентом или третьим лицом, в случае реализации рисков, связанных с учетом прав на ценные бумаги иностранных депонентов в иностранных депозитариях.</w:t>
      </w:r>
    </w:p>
    <w:p w14:paraId="4A7EC245" w14:textId="77777777" w:rsidR="005908C4" w:rsidRPr="0075656B" w:rsidRDefault="005908C4" w:rsidP="00E11D62">
      <w:pPr>
        <w:tabs>
          <w:tab w:val="left" w:pos="1134"/>
        </w:tabs>
        <w:spacing w:after="120" w:line="240" w:lineRule="auto"/>
        <w:jc w:val="both"/>
        <w:rPr>
          <w:rFonts w:ascii="Times New Roman" w:eastAsia="MS Gothic" w:hAnsi="Times New Roman"/>
          <w:sz w:val="16"/>
          <w:szCs w:val="16"/>
        </w:rPr>
      </w:pPr>
    </w:p>
    <w:p w14:paraId="04B19CA0" w14:textId="77777777" w:rsidR="00FB3AEA" w:rsidRPr="0075656B" w:rsidRDefault="00FB3AEA" w:rsidP="0039214A">
      <w:pPr>
        <w:pStyle w:val="a4"/>
        <w:numPr>
          <w:ilvl w:val="0"/>
          <w:numId w:val="4"/>
        </w:numPr>
        <w:spacing w:line="240" w:lineRule="auto"/>
        <w:ind w:left="567" w:hanging="567"/>
        <w:jc w:val="both"/>
        <w:rPr>
          <w:rFonts w:ascii="Times New Roman" w:hAnsi="Times New Roman"/>
          <w:sz w:val="20"/>
          <w:szCs w:val="20"/>
        </w:rPr>
      </w:pPr>
      <w:r w:rsidRPr="0075656B">
        <w:rPr>
          <w:rFonts w:ascii="Times New Roman" w:hAnsi="Times New Roman"/>
          <w:sz w:val="20"/>
          <w:szCs w:val="20"/>
        </w:rPr>
        <w:t>Подпись</w:t>
      </w:r>
    </w:p>
    <w:p w14:paraId="2CD25089" w14:textId="77777777" w:rsidR="00221B84" w:rsidRPr="0075656B" w:rsidRDefault="00221B84" w:rsidP="00EA2B20">
      <w:pPr>
        <w:pStyle w:val="a4"/>
        <w:spacing w:line="240" w:lineRule="auto"/>
        <w:ind w:left="567"/>
        <w:jc w:val="both"/>
        <w:rPr>
          <w:rFonts w:ascii="Times New Roman" w:hAnsi="Times New Roman"/>
          <w:sz w:val="20"/>
          <w:szCs w:val="20"/>
        </w:rPr>
      </w:pPr>
    </w:p>
    <w:p w14:paraId="01B19E52" w14:textId="47FDDF88" w:rsidR="00890CF6" w:rsidRPr="008A5BC4" w:rsidRDefault="00890CF6" w:rsidP="008A5BC4">
      <w:pPr>
        <w:tabs>
          <w:tab w:val="left" w:pos="1134"/>
        </w:tabs>
        <w:spacing w:after="120" w:line="240" w:lineRule="auto"/>
        <w:jc w:val="both"/>
        <w:rPr>
          <w:rFonts w:ascii="Times New Roman" w:eastAsia="MS Gothic" w:hAnsi="Times New Roman"/>
          <w:sz w:val="16"/>
          <w:szCs w:val="16"/>
        </w:rPr>
      </w:pPr>
      <w:r>
        <w:rPr>
          <w:rFonts w:ascii="Times New Roman" w:eastAsia="MS Gothic" w:hAnsi="Times New Roman"/>
          <w:sz w:val="16"/>
          <w:szCs w:val="16"/>
        </w:rPr>
        <w:t xml:space="preserve">Подписанием настоящего заявления подтверждаю, что </w:t>
      </w:r>
      <w:r w:rsidRPr="008A5BC4">
        <w:rPr>
          <w:rFonts w:ascii="Times New Roman" w:eastAsia="MS Gothic" w:hAnsi="Times New Roman"/>
          <w:sz w:val="16"/>
          <w:szCs w:val="16"/>
        </w:rPr>
        <w:t xml:space="preserve">с информацией для получателей финансовых услуг, размещенной </w:t>
      </w:r>
      <w:r w:rsidRPr="008A5BC4">
        <w:rPr>
          <w:rFonts w:ascii="Times New Roman" w:hAnsi="Times New Roman"/>
          <w:sz w:val="16"/>
          <w:szCs w:val="16"/>
        </w:rPr>
        <w:t xml:space="preserve">на странице Компании в информационно-телекоммуникационной сети «Интернет», расположенной по адресу </w:t>
      </w:r>
      <w:bookmarkStart w:id="1" w:name="_Hlk176947410"/>
      <w:r w:rsidR="007C7CCD" w:rsidRPr="00902781">
        <w:rPr>
          <w:rFonts w:ascii="Times New Roman" w:eastAsia="MS Gothic" w:hAnsi="Times New Roman"/>
          <w:sz w:val="16"/>
          <w:szCs w:val="16"/>
        </w:rPr>
        <w:t>https://www. ikhorizon.ru</w:t>
      </w:r>
      <w:bookmarkEnd w:id="1"/>
      <w:r w:rsidR="007C7CCD" w:rsidRPr="00902781">
        <w:rPr>
          <w:rFonts w:ascii="Times New Roman" w:eastAsia="MS Gothic" w:hAnsi="Times New Roman"/>
          <w:sz w:val="16"/>
          <w:szCs w:val="16"/>
        </w:rPr>
        <w:t>/</w:t>
      </w:r>
      <w:r w:rsidRPr="008A5BC4">
        <w:rPr>
          <w:rFonts w:ascii="Times New Roman" w:eastAsia="MS Gothic" w:hAnsi="Times New Roman"/>
          <w:sz w:val="16"/>
          <w:szCs w:val="16"/>
        </w:rPr>
        <w:t>ознакомлен.</w:t>
      </w:r>
    </w:p>
    <w:p w14:paraId="1B686A45" w14:textId="71754343" w:rsidR="00221B84" w:rsidRPr="0075656B" w:rsidRDefault="00890CF6"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Pr>
          <w:rFonts w:ascii="Times New Roman" w:eastAsia="MS Gothic" w:hAnsi="Times New Roman"/>
          <w:sz w:val="16"/>
          <w:szCs w:val="16"/>
        </w:rPr>
        <w:t xml:space="preserve">Подписанием настоящего заявления </w:t>
      </w:r>
      <w:r w:rsidR="00221B84" w:rsidRPr="0075656B">
        <w:rPr>
          <w:rFonts w:ascii="Times New Roman" w:eastAsia="MS Gothic" w:hAnsi="Times New Roman"/>
          <w:sz w:val="16"/>
          <w:szCs w:val="16"/>
        </w:rPr>
        <w:t xml:space="preserve">подтверждаю, что с Рекомендациями по защите информации от воздействия программных кодов, приводящих к нарушению штатного функционирования вычислительной техники, в целях противодействия незаконным финансовым операциям, размещенными на странице </w:t>
      </w:r>
      <w:r w:rsidR="006B136A">
        <w:rPr>
          <w:rFonts w:ascii="Times New Roman" w:eastAsia="MS Gothic" w:hAnsi="Times New Roman"/>
          <w:sz w:val="16"/>
          <w:szCs w:val="16"/>
        </w:rPr>
        <w:t>Акционерного общества «Инвестиционная компания «Горизонт»</w:t>
      </w:r>
      <w:r w:rsidR="00221B84" w:rsidRPr="0075656B">
        <w:rPr>
          <w:rFonts w:ascii="Times New Roman" w:eastAsia="MS Gothic" w:hAnsi="Times New Roman"/>
          <w:sz w:val="16"/>
          <w:szCs w:val="16"/>
        </w:rPr>
        <w:t xml:space="preserve"> в</w:t>
      </w:r>
      <w:r w:rsidR="00DF60CB" w:rsidRPr="0075656B">
        <w:rPr>
          <w:rFonts w:ascii="Times New Roman" w:eastAsia="MS Gothic" w:hAnsi="Times New Roman"/>
          <w:sz w:val="16"/>
          <w:szCs w:val="16"/>
        </w:rPr>
        <w:t xml:space="preserve"> информационно-</w:t>
      </w:r>
      <w:r w:rsidR="00A119E0" w:rsidRPr="0075656B">
        <w:rPr>
          <w:rFonts w:ascii="Times New Roman" w:eastAsia="MS Gothic" w:hAnsi="Times New Roman"/>
          <w:sz w:val="16"/>
          <w:szCs w:val="16"/>
        </w:rPr>
        <w:t>теле</w:t>
      </w:r>
      <w:r w:rsidR="00DF60CB" w:rsidRPr="0075656B">
        <w:rPr>
          <w:rFonts w:ascii="Times New Roman" w:eastAsia="MS Gothic" w:hAnsi="Times New Roman"/>
          <w:sz w:val="16"/>
          <w:szCs w:val="16"/>
        </w:rPr>
        <w:t>коммуникационной</w:t>
      </w:r>
      <w:r w:rsidR="00221B84" w:rsidRPr="0075656B">
        <w:rPr>
          <w:rFonts w:ascii="Times New Roman" w:eastAsia="MS Gothic" w:hAnsi="Times New Roman"/>
          <w:sz w:val="16"/>
          <w:szCs w:val="16"/>
        </w:rPr>
        <w:t xml:space="preserve"> сети </w:t>
      </w:r>
      <w:r w:rsidR="00DF60CB" w:rsidRPr="0075656B">
        <w:rPr>
          <w:rFonts w:ascii="Times New Roman" w:eastAsia="MS Gothic" w:hAnsi="Times New Roman"/>
          <w:sz w:val="16"/>
          <w:szCs w:val="16"/>
        </w:rPr>
        <w:t>«</w:t>
      </w:r>
      <w:r w:rsidR="00221B84" w:rsidRPr="0075656B">
        <w:rPr>
          <w:rFonts w:ascii="Times New Roman" w:eastAsia="MS Gothic" w:hAnsi="Times New Roman"/>
          <w:sz w:val="16"/>
          <w:szCs w:val="16"/>
        </w:rPr>
        <w:t>Интернет</w:t>
      </w:r>
      <w:r w:rsidR="00DF60CB" w:rsidRPr="0075656B">
        <w:rPr>
          <w:rFonts w:ascii="Times New Roman" w:eastAsia="MS Gothic" w:hAnsi="Times New Roman"/>
          <w:sz w:val="16"/>
          <w:szCs w:val="16"/>
        </w:rPr>
        <w:t>», расположенной</w:t>
      </w:r>
      <w:r w:rsidR="00221B84" w:rsidRPr="0075656B">
        <w:rPr>
          <w:rFonts w:ascii="Times New Roman" w:eastAsia="MS Gothic" w:hAnsi="Times New Roman"/>
          <w:sz w:val="16"/>
          <w:szCs w:val="16"/>
        </w:rPr>
        <w:t xml:space="preserve"> по адресу</w:t>
      </w:r>
      <w:r w:rsidR="00E533B6">
        <w:rPr>
          <w:rFonts w:ascii="Times New Roman" w:eastAsia="MS Gothic" w:hAnsi="Times New Roman"/>
          <w:sz w:val="16"/>
          <w:szCs w:val="16"/>
        </w:rPr>
        <w:t xml:space="preserve"> </w:t>
      </w:r>
      <w:r w:rsidR="007C7CCD" w:rsidRPr="00902781">
        <w:rPr>
          <w:rFonts w:ascii="Times New Roman" w:eastAsia="MS Gothic" w:hAnsi="Times New Roman"/>
          <w:sz w:val="16"/>
          <w:szCs w:val="16"/>
        </w:rPr>
        <w:t>https://www. ikhorizon.ru/</w:t>
      </w:r>
      <w:r w:rsidR="006E7920" w:rsidRPr="00902781">
        <w:rPr>
          <w:rFonts w:ascii="Times New Roman" w:eastAsia="MS Gothic" w:hAnsi="Times New Roman"/>
          <w:sz w:val="16"/>
          <w:szCs w:val="16"/>
        </w:rPr>
        <w:t>,</w:t>
      </w:r>
      <w:r w:rsidR="006D02DE" w:rsidRPr="00902781">
        <w:rPr>
          <w:rFonts w:ascii="Times New Roman" w:eastAsia="MS Gothic" w:hAnsi="Times New Roman"/>
          <w:sz w:val="16"/>
          <w:szCs w:val="16"/>
        </w:rPr>
        <w:t xml:space="preserve"> </w:t>
      </w:r>
      <w:r w:rsidR="00221B84" w:rsidRPr="0075656B">
        <w:rPr>
          <w:rFonts w:ascii="Times New Roman" w:eastAsia="MS Gothic" w:hAnsi="Times New Roman"/>
          <w:sz w:val="16"/>
          <w:szCs w:val="16"/>
        </w:rPr>
        <w:t>ознакомлен.</w:t>
      </w:r>
    </w:p>
    <w:p w14:paraId="0FC18C05" w14:textId="77777777" w:rsidR="00221B84" w:rsidRPr="0075656B" w:rsidRDefault="00221B84"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p>
    <w:p w14:paraId="0F256314" w14:textId="0245A618" w:rsidR="00F06BFE" w:rsidRPr="0075656B" w:rsidRDefault="00FB3AEA"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sidRPr="0075656B">
        <w:rPr>
          <w:rFonts w:ascii="Times New Roman" w:eastAsia="MS Gothic" w:hAnsi="Times New Roman"/>
          <w:sz w:val="16"/>
          <w:szCs w:val="16"/>
        </w:rPr>
        <w:t xml:space="preserve">Я ознакомлен и путем подписания настоящего Заявления </w:t>
      </w:r>
      <w:r w:rsidR="00E97021" w:rsidRPr="0075656B">
        <w:rPr>
          <w:rFonts w:ascii="Times New Roman" w:eastAsia="MS Gothic" w:hAnsi="Times New Roman"/>
          <w:sz w:val="16"/>
          <w:szCs w:val="16"/>
        </w:rPr>
        <w:t>выражаю</w:t>
      </w:r>
      <w:r w:rsidRPr="0075656B">
        <w:rPr>
          <w:rFonts w:ascii="Times New Roman" w:eastAsia="MS Gothic" w:hAnsi="Times New Roman"/>
          <w:sz w:val="16"/>
          <w:szCs w:val="16"/>
        </w:rPr>
        <w:t xml:space="preserve"> свое согласие с тем, что </w:t>
      </w:r>
      <w:r w:rsidR="006B136A">
        <w:rPr>
          <w:rFonts w:ascii="Times New Roman" w:eastAsia="MS Gothic" w:hAnsi="Times New Roman"/>
          <w:sz w:val="16"/>
          <w:szCs w:val="16"/>
        </w:rPr>
        <w:t>Акционерно</w:t>
      </w:r>
      <w:r w:rsidR="00B127FE">
        <w:rPr>
          <w:rFonts w:ascii="Times New Roman" w:eastAsia="MS Gothic" w:hAnsi="Times New Roman"/>
          <w:sz w:val="16"/>
          <w:szCs w:val="16"/>
        </w:rPr>
        <w:t>е</w:t>
      </w:r>
      <w:r w:rsidR="006B136A">
        <w:rPr>
          <w:rFonts w:ascii="Times New Roman" w:eastAsia="MS Gothic" w:hAnsi="Times New Roman"/>
          <w:sz w:val="16"/>
          <w:szCs w:val="16"/>
        </w:rPr>
        <w:t xml:space="preserve"> обществ</w:t>
      </w:r>
      <w:r w:rsidR="00B127FE">
        <w:rPr>
          <w:rFonts w:ascii="Times New Roman" w:eastAsia="MS Gothic" w:hAnsi="Times New Roman"/>
          <w:sz w:val="16"/>
          <w:szCs w:val="16"/>
        </w:rPr>
        <w:t>о</w:t>
      </w:r>
      <w:r w:rsidR="006B136A">
        <w:rPr>
          <w:rFonts w:ascii="Times New Roman" w:eastAsia="MS Gothic" w:hAnsi="Times New Roman"/>
          <w:sz w:val="16"/>
          <w:szCs w:val="16"/>
        </w:rPr>
        <w:t xml:space="preserve"> «Инвестиционная компания «Горизонт»</w:t>
      </w:r>
      <w:r w:rsidR="006D02DE" w:rsidRPr="0075656B">
        <w:rPr>
          <w:rFonts w:ascii="Times New Roman" w:eastAsia="MS Gothic" w:hAnsi="Times New Roman"/>
          <w:sz w:val="16"/>
          <w:szCs w:val="16"/>
        </w:rPr>
        <w:t xml:space="preserve"> </w:t>
      </w:r>
      <w:r w:rsidRPr="004F13E1">
        <w:rPr>
          <w:rFonts w:ascii="Times New Roman" w:eastAsia="MS Gothic" w:hAnsi="Times New Roman"/>
          <w:sz w:val="16"/>
          <w:szCs w:val="16"/>
        </w:rPr>
        <w:t>(место нахождения:</w:t>
      </w:r>
      <w:r w:rsidR="006D02DE" w:rsidRPr="004F13E1">
        <w:rPr>
          <w:rFonts w:ascii="Times New Roman" w:eastAsia="MS Gothic" w:hAnsi="Times New Roman"/>
          <w:sz w:val="16"/>
          <w:szCs w:val="16"/>
        </w:rPr>
        <w:t xml:space="preserve"> </w:t>
      </w:r>
      <w:r w:rsidR="004F13E1" w:rsidRPr="004F13E1">
        <w:rPr>
          <w:rFonts w:ascii="Times New Roman" w:hAnsi="Times New Roman"/>
          <w:sz w:val="16"/>
          <w:szCs w:val="16"/>
        </w:rPr>
        <w:t xml:space="preserve">123112, г. Москва, </w:t>
      </w:r>
      <w:proofErr w:type="spellStart"/>
      <w:proofErr w:type="gramStart"/>
      <w:r w:rsidR="004F13E1" w:rsidRPr="004F13E1">
        <w:rPr>
          <w:rFonts w:ascii="Times New Roman" w:hAnsi="Times New Roman"/>
          <w:sz w:val="16"/>
          <w:szCs w:val="16"/>
        </w:rPr>
        <w:t>вн.тер</w:t>
      </w:r>
      <w:proofErr w:type="gramEnd"/>
      <w:r w:rsidR="004F13E1" w:rsidRPr="004F13E1">
        <w:rPr>
          <w:rFonts w:ascii="Times New Roman" w:hAnsi="Times New Roman"/>
          <w:sz w:val="16"/>
          <w:szCs w:val="16"/>
        </w:rPr>
        <w:t>.г.муниципальный</w:t>
      </w:r>
      <w:proofErr w:type="spellEnd"/>
      <w:r w:rsidR="004F13E1" w:rsidRPr="004F13E1">
        <w:rPr>
          <w:rFonts w:ascii="Times New Roman" w:hAnsi="Times New Roman"/>
          <w:sz w:val="16"/>
          <w:szCs w:val="16"/>
        </w:rPr>
        <w:t xml:space="preserve"> округ Пресненский, </w:t>
      </w:r>
      <w:proofErr w:type="spellStart"/>
      <w:r w:rsidR="004F13E1" w:rsidRPr="004F13E1">
        <w:rPr>
          <w:rFonts w:ascii="Times New Roman" w:hAnsi="Times New Roman"/>
          <w:sz w:val="16"/>
          <w:szCs w:val="16"/>
        </w:rPr>
        <w:t>наб.Пресненская</w:t>
      </w:r>
      <w:proofErr w:type="spellEnd"/>
      <w:r w:rsidR="004F13E1" w:rsidRPr="004F13E1">
        <w:rPr>
          <w:rFonts w:ascii="Times New Roman" w:hAnsi="Times New Roman"/>
          <w:sz w:val="16"/>
          <w:szCs w:val="16"/>
        </w:rPr>
        <w:t xml:space="preserve">, д. 6, стр. 2, этаж 52, </w:t>
      </w:r>
      <w:proofErr w:type="spellStart"/>
      <w:r w:rsidR="004F13E1" w:rsidRPr="004F13E1">
        <w:rPr>
          <w:rFonts w:ascii="Times New Roman" w:hAnsi="Times New Roman"/>
          <w:sz w:val="16"/>
          <w:szCs w:val="16"/>
        </w:rPr>
        <w:t>помещ</w:t>
      </w:r>
      <w:proofErr w:type="spellEnd"/>
      <w:r w:rsidR="004F13E1" w:rsidRPr="004F13E1">
        <w:rPr>
          <w:rFonts w:ascii="Times New Roman" w:hAnsi="Times New Roman"/>
          <w:sz w:val="16"/>
          <w:szCs w:val="16"/>
        </w:rPr>
        <w:t>. 5209</w:t>
      </w:r>
      <w:r w:rsidRPr="004F13E1">
        <w:rPr>
          <w:rFonts w:ascii="Times New Roman" w:eastAsia="MS Gothic" w:hAnsi="Times New Roman"/>
          <w:sz w:val="16"/>
          <w:szCs w:val="16"/>
        </w:rPr>
        <w:t>)</w:t>
      </w:r>
      <w:r w:rsidRPr="0075656B">
        <w:rPr>
          <w:rFonts w:ascii="Times New Roman" w:eastAsia="MS Gothic" w:hAnsi="Times New Roman"/>
          <w:sz w:val="16"/>
          <w:szCs w:val="16"/>
        </w:rPr>
        <w:t xml:space="preserve"> (далее – Компания) будет в соответствии с ФЗ «О персональных данных» осуществлять обработку моих персональных данных, содержащихся в </w:t>
      </w:r>
      <w:r w:rsidR="005E02F8" w:rsidRPr="0075656B">
        <w:rPr>
          <w:rFonts w:ascii="Times New Roman" w:eastAsia="MS Gothic" w:hAnsi="Times New Roman"/>
          <w:sz w:val="16"/>
          <w:szCs w:val="16"/>
        </w:rPr>
        <w:t>анкетах</w:t>
      </w:r>
      <w:r w:rsidRPr="0075656B">
        <w:rPr>
          <w:rFonts w:ascii="Times New Roman" w:eastAsia="MS Gothic" w:hAnsi="Times New Roman"/>
          <w:sz w:val="16"/>
          <w:szCs w:val="16"/>
        </w:rPr>
        <w:t xml:space="preserve">, доверенностях, заявлениях и иных документах, предоставляемых </w:t>
      </w:r>
      <w:r w:rsidR="00D630D0" w:rsidRPr="0075656B">
        <w:rPr>
          <w:rFonts w:ascii="Times New Roman" w:eastAsia="MS Gothic" w:hAnsi="Times New Roman"/>
          <w:sz w:val="16"/>
          <w:szCs w:val="16"/>
        </w:rPr>
        <w:t xml:space="preserve">мною </w:t>
      </w:r>
      <w:r w:rsidRPr="0075656B">
        <w:rPr>
          <w:rFonts w:ascii="Times New Roman" w:eastAsia="MS Gothic" w:hAnsi="Times New Roman"/>
          <w:sz w:val="16"/>
          <w:szCs w:val="16"/>
        </w:rPr>
        <w:t>Компании</w:t>
      </w:r>
      <w:r w:rsidR="00D630D0" w:rsidRPr="0075656B">
        <w:rPr>
          <w:rFonts w:ascii="Times New Roman" w:eastAsia="MS Gothic" w:hAnsi="Times New Roman"/>
          <w:sz w:val="16"/>
          <w:szCs w:val="16"/>
        </w:rPr>
        <w:t>.</w:t>
      </w:r>
    </w:p>
    <w:p w14:paraId="4B96C82D" w14:textId="07834F07" w:rsidR="00E97021" w:rsidRDefault="00D630D0"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sidRPr="0075656B">
        <w:rPr>
          <w:rFonts w:ascii="Times New Roman" w:eastAsia="MS Gothic" w:hAnsi="Times New Roman"/>
          <w:sz w:val="16"/>
          <w:szCs w:val="16"/>
        </w:rPr>
        <w:lastRenderedPageBreak/>
        <w:t>Согласие предоставляется</w:t>
      </w:r>
      <w:r w:rsidR="00FB3AEA" w:rsidRPr="0075656B">
        <w:rPr>
          <w:rFonts w:ascii="Times New Roman" w:eastAsia="MS Gothic" w:hAnsi="Times New Roman"/>
          <w:sz w:val="16"/>
          <w:szCs w:val="16"/>
        </w:rPr>
        <w:t xml:space="preserve"> </w:t>
      </w:r>
      <w:r w:rsidR="00F06BFE" w:rsidRPr="0075656B">
        <w:rPr>
          <w:rFonts w:ascii="Times New Roman" w:eastAsia="MS Gothic" w:hAnsi="Times New Roman"/>
          <w:sz w:val="16"/>
          <w:szCs w:val="16"/>
        </w:rPr>
        <w:t xml:space="preserve">на сбор, запись, систематизацию, накопление, хранение, уточнение (обновление, изменение), извлечение, использование, передачу третьим лицам, блокирование, удаление, уничтожение персональных данных, как с использованием средств автоматизации, так и без использования таких средств, при этом под третьими лицами, которым Компания вправе передавать персональные данные, понимаются контрагенты по сделкам, совершаемым Компанией </w:t>
      </w:r>
      <w:r w:rsidR="007A56A2">
        <w:rPr>
          <w:rFonts w:ascii="Times New Roman" w:eastAsia="MS Gothic" w:hAnsi="Times New Roman"/>
          <w:sz w:val="16"/>
          <w:szCs w:val="16"/>
        </w:rPr>
        <w:t>поручению</w:t>
      </w:r>
      <w:r w:rsidR="00F06BFE" w:rsidRPr="0075656B">
        <w:rPr>
          <w:rFonts w:ascii="Times New Roman" w:eastAsia="MS Gothic" w:hAnsi="Times New Roman"/>
          <w:sz w:val="16"/>
          <w:szCs w:val="16"/>
        </w:rPr>
        <w:t xml:space="preserve"> субъекта персональных данных, </w:t>
      </w:r>
      <w:r w:rsidR="007A56A2" w:rsidRPr="007A56A2">
        <w:rPr>
          <w:rFonts w:ascii="Times New Roman" w:eastAsia="MS Gothic" w:hAnsi="Times New Roman"/>
          <w:sz w:val="16"/>
          <w:szCs w:val="16"/>
        </w:rPr>
        <w:t>эмитенты (лица, обязанные по ценным бумагам), вышестоящие депозитарии, регистраторы, организаторы торгов, клиринговые организации, репозитарии,</w:t>
      </w:r>
      <w:r w:rsidR="007A56A2">
        <w:rPr>
          <w:rFonts w:ascii="Times New Roman" w:eastAsia="MS Gothic" w:hAnsi="Times New Roman"/>
          <w:sz w:val="16"/>
          <w:szCs w:val="16"/>
        </w:rPr>
        <w:t xml:space="preserve"> </w:t>
      </w:r>
      <w:r w:rsidR="007A56A2" w:rsidRPr="007A56A2">
        <w:rPr>
          <w:rFonts w:ascii="Times New Roman" w:eastAsia="MS Gothic" w:hAnsi="Times New Roman"/>
          <w:sz w:val="16"/>
          <w:szCs w:val="16"/>
        </w:rPr>
        <w:t xml:space="preserve">лица, участвующие или связанные с участием в исполнении поручений Клиента и (или) сделок (операций), совершенных (исполняемых) на основании поручений Клиента, в том числе </w:t>
      </w:r>
      <w:r w:rsidR="00F06BFE" w:rsidRPr="0075656B">
        <w:rPr>
          <w:rFonts w:ascii="Times New Roman" w:eastAsia="MS Gothic" w:hAnsi="Times New Roman"/>
          <w:sz w:val="16"/>
          <w:szCs w:val="16"/>
        </w:rPr>
        <w:t>лица, которым Компания поруча</w:t>
      </w:r>
      <w:r w:rsidR="007A56A2">
        <w:rPr>
          <w:rFonts w:ascii="Times New Roman" w:eastAsia="MS Gothic" w:hAnsi="Times New Roman"/>
          <w:sz w:val="16"/>
          <w:szCs w:val="16"/>
        </w:rPr>
        <w:t>е</w:t>
      </w:r>
      <w:r w:rsidR="00F06BFE" w:rsidRPr="0075656B">
        <w:rPr>
          <w:rFonts w:ascii="Times New Roman" w:eastAsia="MS Gothic" w:hAnsi="Times New Roman"/>
          <w:sz w:val="16"/>
          <w:szCs w:val="16"/>
        </w:rPr>
        <w:t>т совершение действий, направленных на реализацию целей обработки персональных данных.</w:t>
      </w:r>
    </w:p>
    <w:p w14:paraId="14121CA2" w14:textId="6873006A" w:rsidR="00E97021" w:rsidRPr="0075656B" w:rsidRDefault="00E97021"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sidRPr="0075656B">
        <w:rPr>
          <w:rFonts w:ascii="Times New Roman" w:eastAsia="MS Gothic" w:hAnsi="Times New Roman"/>
          <w:sz w:val="16"/>
          <w:szCs w:val="16"/>
        </w:rPr>
        <w:t>Подписанием настоящего Заявления выражаю свое согласие с тем, что Компания как оператор персональных данных вправе поручить обработку моих персональных данных, содержащихся в анкетах, доверенностях, заявлениях и иных документах, предоставляемых мною Компании, другим лицам для целей реализации целей обработки персональных данных.</w:t>
      </w:r>
    </w:p>
    <w:p w14:paraId="1E3C60E6" w14:textId="30BE449E" w:rsidR="00F06BFE" w:rsidRPr="0075656B" w:rsidRDefault="00FB3AEA"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sidRPr="0075656B">
        <w:rPr>
          <w:rFonts w:ascii="Times New Roman" w:eastAsia="MS Gothic" w:hAnsi="Times New Roman"/>
          <w:sz w:val="16"/>
          <w:szCs w:val="16"/>
        </w:rPr>
        <w:t>Целью обработки персональных данных явля</w:t>
      </w:r>
      <w:r w:rsidR="00F06BFE" w:rsidRPr="0075656B">
        <w:rPr>
          <w:rFonts w:ascii="Times New Roman" w:eastAsia="MS Gothic" w:hAnsi="Times New Roman"/>
          <w:sz w:val="16"/>
          <w:szCs w:val="16"/>
        </w:rPr>
        <w:t>ю</w:t>
      </w:r>
      <w:r w:rsidRPr="0075656B">
        <w:rPr>
          <w:rFonts w:ascii="Times New Roman" w:eastAsia="MS Gothic" w:hAnsi="Times New Roman"/>
          <w:sz w:val="16"/>
          <w:szCs w:val="16"/>
        </w:rPr>
        <w:t xml:space="preserve">тся </w:t>
      </w:r>
      <w:r w:rsidR="00F06BFE" w:rsidRPr="0075656B">
        <w:rPr>
          <w:rFonts w:ascii="Times New Roman" w:eastAsia="MS Gothic" w:hAnsi="Times New Roman"/>
          <w:sz w:val="16"/>
          <w:szCs w:val="16"/>
        </w:rPr>
        <w:t>(i) установление и поддержание договорных отношений, обеспечение реализации прав и надлежащего исполнения обязанностей по заключенным договорам, (</w:t>
      </w:r>
      <w:proofErr w:type="spellStart"/>
      <w:r w:rsidR="00F06BFE" w:rsidRPr="0075656B">
        <w:rPr>
          <w:rFonts w:ascii="Times New Roman" w:eastAsia="MS Gothic" w:hAnsi="Times New Roman"/>
          <w:sz w:val="16"/>
          <w:szCs w:val="16"/>
        </w:rPr>
        <w:t>ii</w:t>
      </w:r>
      <w:proofErr w:type="spellEnd"/>
      <w:r w:rsidR="00F06BFE" w:rsidRPr="0075656B">
        <w:rPr>
          <w:rFonts w:ascii="Times New Roman" w:eastAsia="MS Gothic" w:hAnsi="Times New Roman"/>
          <w:sz w:val="16"/>
          <w:szCs w:val="16"/>
        </w:rPr>
        <w:t>) продвижение товаров и услуг Компании на рынке путем осуществления прямых контактов с заявителем как потенциальным потребителем с помощью средств связи, информация о которых предоставлена Компании, (</w:t>
      </w:r>
      <w:proofErr w:type="spellStart"/>
      <w:r w:rsidR="00F06BFE" w:rsidRPr="0075656B">
        <w:rPr>
          <w:rFonts w:ascii="Times New Roman" w:eastAsia="MS Gothic" w:hAnsi="Times New Roman"/>
          <w:sz w:val="16"/>
          <w:szCs w:val="16"/>
        </w:rPr>
        <w:t>iii</w:t>
      </w:r>
      <w:proofErr w:type="spellEnd"/>
      <w:r w:rsidR="00F06BFE" w:rsidRPr="0075656B">
        <w:rPr>
          <w:rFonts w:ascii="Times New Roman" w:eastAsia="MS Gothic" w:hAnsi="Times New Roman"/>
          <w:sz w:val="16"/>
          <w:szCs w:val="16"/>
        </w:rPr>
        <w:t xml:space="preserve">) </w:t>
      </w:r>
      <w:r w:rsidR="00933093" w:rsidRPr="0075656B">
        <w:rPr>
          <w:rFonts w:ascii="Times New Roman" w:eastAsia="MS Gothic" w:hAnsi="Times New Roman"/>
          <w:sz w:val="16"/>
          <w:szCs w:val="16"/>
        </w:rPr>
        <w:t>предоставление аналитических материалов, а также новостей, связанных с деятельность Компании, финансового рынка в целом; (</w:t>
      </w:r>
      <w:r w:rsidR="00933093" w:rsidRPr="0075656B">
        <w:rPr>
          <w:rFonts w:ascii="Times New Roman" w:eastAsia="MS Gothic" w:hAnsi="Times New Roman"/>
          <w:sz w:val="16"/>
          <w:szCs w:val="16"/>
          <w:lang w:val="en-US"/>
        </w:rPr>
        <w:t>iv</w:t>
      </w:r>
      <w:r w:rsidR="00933093" w:rsidRPr="0075656B">
        <w:rPr>
          <w:rFonts w:ascii="Times New Roman" w:eastAsia="MS Gothic" w:hAnsi="Times New Roman"/>
          <w:sz w:val="16"/>
          <w:szCs w:val="16"/>
        </w:rPr>
        <w:t xml:space="preserve">) </w:t>
      </w:r>
      <w:r w:rsidR="00F06BFE" w:rsidRPr="0075656B">
        <w:rPr>
          <w:rFonts w:ascii="Times New Roman" w:eastAsia="MS Gothic" w:hAnsi="Times New Roman"/>
          <w:sz w:val="16"/>
          <w:szCs w:val="16"/>
        </w:rPr>
        <w:t>контроль за качеством оказываемых Компанией услуг, в том числе путем проведения с помощью средств связи, информация о которых предоставлена Компании, опросов, анкетирования иных форм маркетинговых исследований.</w:t>
      </w:r>
    </w:p>
    <w:p w14:paraId="0D5E1599" w14:textId="404A64CF" w:rsidR="00F06BFE" w:rsidRPr="0075656B" w:rsidRDefault="00FB3AEA"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sidRPr="0075656B">
        <w:rPr>
          <w:rFonts w:ascii="Times New Roman" w:eastAsia="MS Gothic" w:hAnsi="Times New Roman"/>
          <w:sz w:val="16"/>
          <w:szCs w:val="16"/>
        </w:rPr>
        <w:t xml:space="preserve">Сроки обработки персональных данных: с даты предоставления данных Компании и </w:t>
      </w:r>
      <w:r w:rsidR="00AE277B" w:rsidRPr="0075656B">
        <w:rPr>
          <w:rFonts w:ascii="Times New Roman" w:eastAsia="MS Gothic" w:hAnsi="Times New Roman"/>
          <w:sz w:val="16"/>
          <w:szCs w:val="16"/>
        </w:rPr>
        <w:t xml:space="preserve">до истечения 5 (пяти) лет со дня прекращения договорных отношений с Компанией - в случае заключения Договора/Договоров на основании настоящего Заявления или </w:t>
      </w:r>
      <w:r w:rsidRPr="0075656B">
        <w:rPr>
          <w:rFonts w:ascii="Times New Roman" w:eastAsia="MS Gothic" w:hAnsi="Times New Roman"/>
          <w:sz w:val="16"/>
          <w:szCs w:val="16"/>
        </w:rPr>
        <w:t xml:space="preserve">в течение 5 (пяти) лет со дня предоставления данных Компании </w:t>
      </w:r>
      <w:r w:rsidR="00AE277B" w:rsidRPr="0075656B">
        <w:rPr>
          <w:rFonts w:ascii="Times New Roman" w:eastAsia="MS Gothic" w:hAnsi="Times New Roman"/>
          <w:sz w:val="16"/>
          <w:szCs w:val="16"/>
        </w:rPr>
        <w:t xml:space="preserve">- в случае не заключения ни Договора о </w:t>
      </w:r>
      <w:r w:rsidR="00890CF6">
        <w:rPr>
          <w:rFonts w:ascii="Times New Roman" w:eastAsia="MS Gothic" w:hAnsi="Times New Roman"/>
          <w:sz w:val="16"/>
          <w:szCs w:val="16"/>
        </w:rPr>
        <w:t>б</w:t>
      </w:r>
      <w:r w:rsidR="00AE277B" w:rsidRPr="0075656B">
        <w:rPr>
          <w:rFonts w:ascii="Times New Roman" w:eastAsia="MS Gothic" w:hAnsi="Times New Roman"/>
          <w:sz w:val="16"/>
          <w:szCs w:val="16"/>
        </w:rPr>
        <w:t>рокерском обслуживании, ни Депозитарного договора на основании настоящего Заявления,</w:t>
      </w:r>
      <w:r w:rsidRPr="0075656B">
        <w:rPr>
          <w:rFonts w:ascii="Times New Roman" w:eastAsia="MS Gothic" w:hAnsi="Times New Roman"/>
          <w:sz w:val="16"/>
          <w:szCs w:val="16"/>
        </w:rPr>
        <w:t xml:space="preserve"> если иной срок не установлен законодательством Российской Федерации.</w:t>
      </w:r>
    </w:p>
    <w:p w14:paraId="6D6F5157" w14:textId="1E22858A" w:rsidR="00FB3AEA" w:rsidRPr="0075656B" w:rsidRDefault="00F06BFE" w:rsidP="00FB3AEA">
      <w:pPr>
        <w:pStyle w:val="a4"/>
        <w:tabs>
          <w:tab w:val="left" w:pos="1134"/>
        </w:tabs>
        <w:autoSpaceDE w:val="0"/>
        <w:autoSpaceDN w:val="0"/>
        <w:adjustRightInd w:val="0"/>
        <w:spacing w:after="0" w:line="240" w:lineRule="auto"/>
        <w:ind w:left="0"/>
        <w:jc w:val="both"/>
        <w:rPr>
          <w:rFonts w:ascii="Times New Roman" w:eastAsia="MS Gothic" w:hAnsi="Times New Roman"/>
          <w:sz w:val="16"/>
          <w:szCs w:val="16"/>
        </w:rPr>
      </w:pPr>
      <w:r w:rsidRPr="0075656B">
        <w:rPr>
          <w:rFonts w:ascii="Times New Roman" w:eastAsia="MS Gothic" w:hAnsi="Times New Roman"/>
          <w:sz w:val="16"/>
          <w:szCs w:val="16"/>
        </w:rPr>
        <w:t>Заявитель вправе в любое время отозвать настоящее согласие на обработку персональных данных, путем направления Компании соответствующего заявления. Такое заявление должно быть направлено в письменной форме по адресу места нахождения Компании</w:t>
      </w:r>
      <w:r w:rsidR="00890CF6">
        <w:rPr>
          <w:rFonts w:ascii="Times New Roman" w:eastAsia="MS Gothic" w:hAnsi="Times New Roman"/>
          <w:sz w:val="16"/>
          <w:szCs w:val="16"/>
        </w:rPr>
        <w:t>,</w:t>
      </w:r>
      <w:r w:rsidRPr="0075656B">
        <w:rPr>
          <w:rFonts w:ascii="Times New Roman" w:eastAsia="MS Gothic" w:hAnsi="Times New Roman"/>
          <w:sz w:val="16"/>
          <w:szCs w:val="16"/>
        </w:rPr>
        <w:t xml:space="preserve"> указанному выше.</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5452"/>
        <w:gridCol w:w="3105"/>
      </w:tblGrid>
      <w:tr w:rsidR="00FB3AEA" w:rsidRPr="00D27A8F" w14:paraId="492796EC" w14:textId="77777777" w:rsidTr="00DB554B">
        <w:trPr>
          <w:trHeight w:val="176"/>
        </w:trPr>
        <w:tc>
          <w:tcPr>
            <w:tcW w:w="6393" w:type="dxa"/>
            <w:gridSpan w:val="2"/>
            <w:shd w:val="clear" w:color="auto" w:fill="auto"/>
          </w:tcPr>
          <w:p w14:paraId="629070BD" w14:textId="77777777" w:rsidR="00FB3AEA" w:rsidRPr="0075656B" w:rsidRDefault="00FB3AEA" w:rsidP="00DB554B">
            <w:pPr>
              <w:spacing w:after="0" w:line="240" w:lineRule="auto"/>
              <w:rPr>
                <w:rFonts w:ascii="Times New Roman" w:hAnsi="Times New Roman"/>
                <w:b/>
                <w:sz w:val="18"/>
                <w:szCs w:val="18"/>
              </w:rPr>
            </w:pPr>
            <w:r w:rsidRPr="0075656B">
              <w:rPr>
                <w:rFonts w:ascii="Times New Roman" w:eastAsia="MS Gothic" w:hAnsi="Times New Roman"/>
                <w:b/>
                <w:sz w:val="18"/>
                <w:szCs w:val="18"/>
              </w:rPr>
              <w:t>Подпись клиента (уполномоченного представителя)</w:t>
            </w:r>
          </w:p>
        </w:tc>
        <w:tc>
          <w:tcPr>
            <w:tcW w:w="3105" w:type="dxa"/>
            <w:vMerge w:val="restart"/>
            <w:shd w:val="clear" w:color="auto" w:fill="auto"/>
          </w:tcPr>
          <w:p w14:paraId="5A41DF7F" w14:textId="77777777" w:rsidR="00FB3AEA" w:rsidRPr="0075656B" w:rsidRDefault="00FB3AEA" w:rsidP="00DB554B">
            <w:pPr>
              <w:spacing w:after="0" w:line="240" w:lineRule="auto"/>
              <w:rPr>
                <w:rFonts w:ascii="Times New Roman" w:hAnsi="Times New Roman"/>
                <w:b/>
              </w:rPr>
            </w:pPr>
          </w:p>
          <w:p w14:paraId="2C27E700" w14:textId="77777777" w:rsidR="00FB3AEA" w:rsidRPr="0075656B" w:rsidRDefault="00FB3AEA" w:rsidP="00DB554B">
            <w:pPr>
              <w:spacing w:after="0" w:line="240" w:lineRule="auto"/>
              <w:rPr>
                <w:rFonts w:ascii="Times New Roman" w:hAnsi="Times New Roman"/>
                <w:b/>
              </w:rPr>
            </w:pPr>
          </w:p>
          <w:p w14:paraId="11D5B901" w14:textId="77777777" w:rsidR="00FB3AEA" w:rsidRPr="0075656B" w:rsidRDefault="00FB3AEA" w:rsidP="00DB554B">
            <w:pPr>
              <w:spacing w:after="0" w:line="240" w:lineRule="auto"/>
              <w:rPr>
                <w:rFonts w:ascii="Times New Roman" w:hAnsi="Times New Roman"/>
                <w:b/>
              </w:rPr>
            </w:pPr>
          </w:p>
          <w:p w14:paraId="4F271236" w14:textId="77777777" w:rsidR="00FB3AEA" w:rsidRPr="0075656B" w:rsidRDefault="00FB3AEA" w:rsidP="00DB554B">
            <w:pPr>
              <w:spacing w:after="0" w:line="240" w:lineRule="auto"/>
              <w:rPr>
                <w:rFonts w:ascii="Times New Roman" w:hAnsi="Times New Roman"/>
                <w:b/>
              </w:rPr>
            </w:pPr>
          </w:p>
          <w:p w14:paraId="28F279F6" w14:textId="77777777" w:rsidR="00FB3AEA" w:rsidRPr="0075656B" w:rsidRDefault="00FB3AEA" w:rsidP="00DB554B">
            <w:pPr>
              <w:spacing w:after="0" w:line="240" w:lineRule="auto"/>
              <w:rPr>
                <w:rFonts w:ascii="Times New Roman" w:hAnsi="Times New Roman"/>
                <w:b/>
              </w:rPr>
            </w:pPr>
          </w:p>
          <w:p w14:paraId="793D8BC2" w14:textId="77777777" w:rsidR="00FB3AEA" w:rsidRPr="0075656B" w:rsidRDefault="00FB3AEA" w:rsidP="00DB554B">
            <w:pPr>
              <w:spacing w:after="0" w:line="240" w:lineRule="auto"/>
              <w:jc w:val="center"/>
              <w:rPr>
                <w:rFonts w:ascii="Times New Roman" w:hAnsi="Times New Roman"/>
                <w:b/>
              </w:rPr>
            </w:pPr>
            <w:r w:rsidRPr="0075656B">
              <w:rPr>
                <w:rFonts w:ascii="Times New Roman" w:eastAsia="MS Gothic" w:hAnsi="Times New Roman"/>
                <w:sz w:val="18"/>
                <w:szCs w:val="18"/>
              </w:rPr>
              <w:t>Печать</w:t>
            </w:r>
            <w:r w:rsidR="003C2676" w:rsidRPr="0075656B">
              <w:rPr>
                <w:rFonts w:ascii="Times New Roman" w:eastAsia="MS Gothic" w:hAnsi="Times New Roman"/>
                <w:sz w:val="18"/>
                <w:szCs w:val="18"/>
              </w:rPr>
              <w:t xml:space="preserve"> (при наличии)</w:t>
            </w:r>
          </w:p>
        </w:tc>
      </w:tr>
      <w:tr w:rsidR="00FB3AEA" w:rsidRPr="00D27A8F" w14:paraId="754673C8" w14:textId="77777777" w:rsidTr="00DB554B">
        <w:trPr>
          <w:trHeight w:val="224"/>
        </w:trPr>
        <w:tc>
          <w:tcPr>
            <w:tcW w:w="941" w:type="dxa"/>
            <w:shd w:val="clear" w:color="auto" w:fill="auto"/>
            <w:vAlign w:val="center"/>
          </w:tcPr>
          <w:p w14:paraId="0ED5C8E9" w14:textId="77777777" w:rsidR="00FB3AEA" w:rsidRPr="0075656B" w:rsidRDefault="00FB3AEA" w:rsidP="00DB554B">
            <w:pPr>
              <w:spacing w:after="0" w:line="240" w:lineRule="auto"/>
              <w:rPr>
                <w:rFonts w:ascii="Times New Roman" w:hAnsi="Times New Roman"/>
                <w:b/>
              </w:rPr>
            </w:pPr>
            <w:r w:rsidRPr="0075656B">
              <w:rPr>
                <w:rFonts w:ascii="Times New Roman" w:eastAsia="MS Gothic" w:hAnsi="Times New Roman"/>
                <w:sz w:val="18"/>
                <w:szCs w:val="18"/>
              </w:rPr>
              <w:t>ФИО:</w:t>
            </w:r>
          </w:p>
        </w:tc>
        <w:tc>
          <w:tcPr>
            <w:tcW w:w="5452" w:type="dxa"/>
            <w:shd w:val="clear" w:color="auto" w:fill="auto"/>
            <w:vAlign w:val="center"/>
          </w:tcPr>
          <w:p w14:paraId="3A8938B5" w14:textId="77777777" w:rsidR="00FB3AEA" w:rsidRPr="0075656B" w:rsidRDefault="00FB3AEA" w:rsidP="00DB554B">
            <w:pPr>
              <w:spacing w:after="0" w:line="240" w:lineRule="auto"/>
              <w:rPr>
                <w:rFonts w:ascii="Times New Roman" w:hAnsi="Times New Roman"/>
                <w:b/>
              </w:rPr>
            </w:pPr>
            <w:r w:rsidRPr="0075656B">
              <w:rPr>
                <w:rStyle w:val="a3"/>
                <w:rFonts w:ascii="Times New Roman" w:hAnsi="Times New Roman"/>
                <w:b/>
                <w:color w:val="000000"/>
              </w:rPr>
              <w:fldChar w:fldCharType="begin">
                <w:ffData>
                  <w:name w:val="ТекстовоеПоле1"/>
                  <w:enabled/>
                  <w:calcOnExit w:val="0"/>
                  <w:textInput/>
                </w:ffData>
              </w:fldChar>
            </w:r>
            <w:r w:rsidRPr="0075656B">
              <w:rPr>
                <w:rStyle w:val="a3"/>
                <w:rFonts w:ascii="Times New Roman" w:hAnsi="Times New Roman"/>
                <w:b/>
                <w:color w:val="000000"/>
              </w:rPr>
              <w:instrText xml:space="preserve"> FORMTEXT </w:instrText>
            </w:r>
            <w:r w:rsidRPr="0075656B">
              <w:rPr>
                <w:rStyle w:val="a3"/>
                <w:rFonts w:ascii="Times New Roman" w:hAnsi="Times New Roman"/>
                <w:b/>
                <w:color w:val="000000"/>
              </w:rPr>
            </w:r>
            <w:r w:rsidRPr="0075656B">
              <w:rPr>
                <w:rStyle w:val="a3"/>
                <w:rFonts w:ascii="Times New Roman" w:hAnsi="Times New Roman"/>
                <w:b/>
                <w:color w:val="000000"/>
              </w:rPr>
              <w:fldChar w:fldCharType="separate"/>
            </w:r>
            <w:r w:rsidRPr="0075656B">
              <w:rPr>
                <w:rStyle w:val="a3"/>
                <w:rFonts w:ascii="Times New Roman" w:hAnsi="Times New Roman"/>
                <w:b/>
                <w:noProof/>
                <w:color w:val="000000"/>
              </w:rPr>
              <w:t> </w:t>
            </w:r>
            <w:r w:rsidRPr="0075656B">
              <w:rPr>
                <w:rStyle w:val="a3"/>
                <w:rFonts w:ascii="Times New Roman" w:hAnsi="Times New Roman"/>
                <w:b/>
                <w:noProof/>
                <w:color w:val="000000"/>
              </w:rPr>
              <w:t> </w:t>
            </w:r>
            <w:r w:rsidRPr="0075656B">
              <w:rPr>
                <w:rStyle w:val="a3"/>
                <w:rFonts w:ascii="Times New Roman" w:hAnsi="Times New Roman"/>
                <w:b/>
                <w:noProof/>
                <w:color w:val="000000"/>
              </w:rPr>
              <w:t> </w:t>
            </w:r>
            <w:r w:rsidRPr="0075656B">
              <w:rPr>
                <w:rStyle w:val="a3"/>
                <w:rFonts w:ascii="Times New Roman" w:hAnsi="Times New Roman"/>
                <w:b/>
                <w:noProof/>
                <w:color w:val="000000"/>
              </w:rPr>
              <w:t> </w:t>
            </w:r>
            <w:r w:rsidRPr="0075656B">
              <w:rPr>
                <w:rStyle w:val="a3"/>
                <w:rFonts w:ascii="Times New Roman" w:hAnsi="Times New Roman"/>
                <w:b/>
                <w:noProof/>
                <w:color w:val="000000"/>
              </w:rPr>
              <w:t> </w:t>
            </w:r>
            <w:r w:rsidRPr="0075656B">
              <w:rPr>
                <w:rStyle w:val="a3"/>
                <w:rFonts w:ascii="Times New Roman" w:hAnsi="Times New Roman"/>
                <w:b/>
                <w:color w:val="000000"/>
              </w:rPr>
              <w:fldChar w:fldCharType="end"/>
            </w:r>
          </w:p>
        </w:tc>
        <w:tc>
          <w:tcPr>
            <w:tcW w:w="3105" w:type="dxa"/>
            <w:vMerge/>
            <w:shd w:val="clear" w:color="auto" w:fill="auto"/>
          </w:tcPr>
          <w:p w14:paraId="3D515C15" w14:textId="77777777" w:rsidR="00FB3AEA" w:rsidRPr="0075656B" w:rsidRDefault="00FB3AEA" w:rsidP="00DB554B">
            <w:pPr>
              <w:spacing w:after="0" w:line="240" w:lineRule="auto"/>
              <w:jc w:val="center"/>
              <w:rPr>
                <w:rFonts w:ascii="Times New Roman" w:hAnsi="Times New Roman"/>
                <w:b/>
              </w:rPr>
            </w:pPr>
          </w:p>
        </w:tc>
      </w:tr>
      <w:tr w:rsidR="00FB3AEA" w:rsidRPr="00D27A8F" w14:paraId="7C19035C" w14:textId="77777777" w:rsidTr="00DB554B">
        <w:trPr>
          <w:trHeight w:val="70"/>
        </w:trPr>
        <w:tc>
          <w:tcPr>
            <w:tcW w:w="6393" w:type="dxa"/>
            <w:gridSpan w:val="2"/>
            <w:shd w:val="clear" w:color="auto" w:fill="auto"/>
          </w:tcPr>
          <w:p w14:paraId="2AD4BDE9" w14:textId="77777777" w:rsidR="00FB3AEA" w:rsidRPr="0075656B" w:rsidRDefault="00FB3AEA" w:rsidP="00DB554B">
            <w:pPr>
              <w:spacing w:after="0" w:line="240" w:lineRule="auto"/>
              <w:jc w:val="center"/>
              <w:rPr>
                <w:rFonts w:ascii="Times New Roman" w:eastAsia="MS Gothic" w:hAnsi="Times New Roman"/>
                <w:sz w:val="18"/>
                <w:szCs w:val="18"/>
              </w:rPr>
            </w:pPr>
          </w:p>
          <w:p w14:paraId="3E867008" w14:textId="77777777" w:rsidR="00FB3AEA" w:rsidRPr="0075656B" w:rsidRDefault="00FB3AEA" w:rsidP="00DB554B">
            <w:pPr>
              <w:spacing w:after="0" w:line="240" w:lineRule="auto"/>
              <w:jc w:val="center"/>
              <w:rPr>
                <w:rFonts w:ascii="Times New Roman" w:eastAsia="MS Gothic" w:hAnsi="Times New Roman"/>
                <w:sz w:val="18"/>
                <w:szCs w:val="18"/>
              </w:rPr>
            </w:pPr>
          </w:p>
          <w:p w14:paraId="4684BB52" w14:textId="77777777" w:rsidR="00FB3AEA" w:rsidRPr="0075656B" w:rsidRDefault="00FB3AEA" w:rsidP="00DB554B">
            <w:pPr>
              <w:spacing w:after="0" w:line="240" w:lineRule="auto"/>
              <w:jc w:val="center"/>
              <w:rPr>
                <w:rFonts w:ascii="Times New Roman" w:eastAsia="MS Gothic" w:hAnsi="Times New Roman"/>
                <w:sz w:val="18"/>
                <w:szCs w:val="18"/>
              </w:rPr>
            </w:pPr>
          </w:p>
          <w:p w14:paraId="6D131F83" w14:textId="77777777" w:rsidR="00FB3AEA" w:rsidRPr="0075656B" w:rsidRDefault="00FB3AEA" w:rsidP="00DB554B">
            <w:pPr>
              <w:spacing w:after="0" w:line="240" w:lineRule="auto"/>
              <w:jc w:val="center"/>
              <w:rPr>
                <w:rFonts w:ascii="Times New Roman" w:eastAsia="MS Gothic" w:hAnsi="Times New Roman"/>
                <w:sz w:val="18"/>
                <w:szCs w:val="18"/>
              </w:rPr>
            </w:pPr>
          </w:p>
          <w:p w14:paraId="11ACE5EB" w14:textId="77777777" w:rsidR="00FB3AEA" w:rsidRPr="0075656B" w:rsidRDefault="00FB3AEA" w:rsidP="00DB554B">
            <w:pPr>
              <w:spacing w:after="0" w:line="240" w:lineRule="auto"/>
              <w:jc w:val="center"/>
              <w:rPr>
                <w:rFonts w:ascii="Times New Roman" w:hAnsi="Times New Roman"/>
                <w:b/>
              </w:rPr>
            </w:pPr>
            <w:r w:rsidRPr="0075656B">
              <w:rPr>
                <w:rFonts w:ascii="Times New Roman" w:eastAsia="MS Gothic" w:hAnsi="Times New Roman"/>
                <w:sz w:val="18"/>
                <w:szCs w:val="18"/>
              </w:rPr>
              <w:t>Подпись</w:t>
            </w:r>
          </w:p>
        </w:tc>
        <w:tc>
          <w:tcPr>
            <w:tcW w:w="3105" w:type="dxa"/>
            <w:vMerge/>
            <w:shd w:val="clear" w:color="auto" w:fill="auto"/>
          </w:tcPr>
          <w:p w14:paraId="30FD2FA1" w14:textId="77777777" w:rsidR="00FB3AEA" w:rsidRPr="0075656B" w:rsidRDefault="00FB3AEA" w:rsidP="00DB554B">
            <w:pPr>
              <w:spacing w:after="0" w:line="240" w:lineRule="auto"/>
              <w:jc w:val="center"/>
              <w:rPr>
                <w:rFonts w:ascii="Times New Roman" w:eastAsia="MS Gothic" w:hAnsi="Times New Roman"/>
                <w:sz w:val="18"/>
                <w:szCs w:val="18"/>
              </w:rPr>
            </w:pPr>
          </w:p>
        </w:tc>
      </w:tr>
    </w:tbl>
    <w:p w14:paraId="66A2D263" w14:textId="2A0DDAB0" w:rsidR="00FB3AEA" w:rsidRPr="0075656B" w:rsidRDefault="00FB3AEA" w:rsidP="00FB3AEA">
      <w:pPr>
        <w:rPr>
          <w:rFonts w:ascii="Times New Roman" w:hAnsi="Times New Roman"/>
        </w:rPr>
      </w:pPr>
    </w:p>
    <w:tbl>
      <w:tblPr>
        <w:tblW w:w="9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402"/>
        <w:gridCol w:w="3143"/>
      </w:tblGrid>
      <w:tr w:rsidR="005878CC" w:rsidRPr="00D27A8F" w14:paraId="00EA7922" w14:textId="77777777" w:rsidTr="00A1201F">
        <w:trPr>
          <w:trHeight w:val="139"/>
        </w:trPr>
        <w:tc>
          <w:tcPr>
            <w:tcW w:w="9517" w:type="dxa"/>
            <w:gridSpan w:val="3"/>
            <w:shd w:val="clear" w:color="auto" w:fill="auto"/>
            <w:vAlign w:val="center"/>
          </w:tcPr>
          <w:p w14:paraId="2A93BDF0" w14:textId="77777777" w:rsidR="005878CC" w:rsidRPr="0075656B" w:rsidRDefault="005878CC" w:rsidP="00A1201F">
            <w:pPr>
              <w:spacing w:after="0" w:line="240" w:lineRule="auto"/>
              <w:jc w:val="center"/>
              <w:rPr>
                <w:rFonts w:ascii="Times New Roman" w:hAnsi="Times New Roman"/>
                <w:b/>
              </w:rPr>
            </w:pPr>
            <w:r w:rsidRPr="0075656B">
              <w:rPr>
                <w:rFonts w:ascii="Times New Roman" w:hAnsi="Times New Roman"/>
                <w:b/>
                <w:i/>
                <w:sz w:val="16"/>
                <w:szCs w:val="16"/>
              </w:rPr>
              <w:t>Зарегистрировано:</w:t>
            </w:r>
            <w:r w:rsidRPr="0075656B">
              <w:rPr>
                <w:rFonts w:ascii="Times New Roman" w:hAnsi="Times New Roman"/>
                <w:i/>
                <w:sz w:val="16"/>
                <w:szCs w:val="16"/>
              </w:rPr>
              <w:t xml:space="preserve"> (заполняется сотрудником Компании)</w:t>
            </w:r>
          </w:p>
        </w:tc>
      </w:tr>
      <w:tr w:rsidR="005878CC" w:rsidRPr="00D27A8F" w14:paraId="5CB8F55C" w14:textId="77777777" w:rsidTr="0075656B">
        <w:trPr>
          <w:trHeight w:val="739"/>
        </w:trPr>
        <w:tc>
          <w:tcPr>
            <w:tcW w:w="2972" w:type="dxa"/>
            <w:shd w:val="clear" w:color="auto" w:fill="auto"/>
            <w:vAlign w:val="center"/>
          </w:tcPr>
          <w:p w14:paraId="3E35B1C4" w14:textId="77777777" w:rsidR="005878CC" w:rsidRPr="0075656B" w:rsidRDefault="005878CC" w:rsidP="00A1201F">
            <w:pPr>
              <w:spacing w:after="0" w:line="240" w:lineRule="auto"/>
              <w:rPr>
                <w:rFonts w:ascii="Times New Roman" w:hAnsi="Times New Roman"/>
                <w:b/>
              </w:rPr>
            </w:pPr>
          </w:p>
        </w:tc>
        <w:tc>
          <w:tcPr>
            <w:tcW w:w="3402" w:type="dxa"/>
            <w:shd w:val="clear" w:color="auto" w:fill="auto"/>
            <w:vAlign w:val="center"/>
          </w:tcPr>
          <w:p w14:paraId="2CF190AF" w14:textId="77777777" w:rsidR="005878CC" w:rsidRPr="0075656B" w:rsidRDefault="005878CC" w:rsidP="00A1201F">
            <w:pPr>
              <w:spacing w:after="0" w:line="240" w:lineRule="auto"/>
              <w:rPr>
                <w:rFonts w:ascii="Times New Roman" w:hAnsi="Times New Roman"/>
                <w:b/>
              </w:rPr>
            </w:pPr>
          </w:p>
          <w:p w14:paraId="4A485EC4" w14:textId="77777777" w:rsidR="005878CC" w:rsidRPr="0075656B" w:rsidRDefault="005878CC" w:rsidP="00A1201F">
            <w:pPr>
              <w:spacing w:after="0" w:line="240" w:lineRule="auto"/>
              <w:rPr>
                <w:rFonts w:ascii="Times New Roman" w:hAnsi="Times New Roman"/>
                <w:b/>
              </w:rPr>
            </w:pPr>
          </w:p>
          <w:p w14:paraId="55687332" w14:textId="77777777" w:rsidR="005878CC" w:rsidRPr="0075656B" w:rsidRDefault="005878CC" w:rsidP="00A1201F">
            <w:pPr>
              <w:spacing w:after="0" w:line="240" w:lineRule="auto"/>
              <w:rPr>
                <w:rFonts w:ascii="Times New Roman" w:hAnsi="Times New Roman"/>
                <w:b/>
              </w:rPr>
            </w:pPr>
          </w:p>
          <w:p w14:paraId="231837E2" w14:textId="77777777" w:rsidR="005878CC" w:rsidRPr="0075656B" w:rsidRDefault="005878CC" w:rsidP="00A1201F">
            <w:pPr>
              <w:spacing w:after="0" w:line="240" w:lineRule="auto"/>
              <w:rPr>
                <w:rFonts w:ascii="Times New Roman" w:hAnsi="Times New Roman"/>
                <w:b/>
              </w:rPr>
            </w:pPr>
          </w:p>
        </w:tc>
        <w:tc>
          <w:tcPr>
            <w:tcW w:w="3143" w:type="dxa"/>
            <w:shd w:val="clear" w:color="auto" w:fill="auto"/>
            <w:vAlign w:val="center"/>
          </w:tcPr>
          <w:p w14:paraId="73249019" w14:textId="77777777" w:rsidR="005878CC" w:rsidRPr="0075656B" w:rsidRDefault="005878CC" w:rsidP="00A1201F">
            <w:pPr>
              <w:spacing w:after="0" w:line="240" w:lineRule="auto"/>
              <w:rPr>
                <w:rFonts w:ascii="Times New Roman" w:hAnsi="Times New Roman"/>
                <w:b/>
              </w:rPr>
            </w:pPr>
          </w:p>
        </w:tc>
      </w:tr>
      <w:tr w:rsidR="005878CC" w:rsidRPr="00D27A8F" w14:paraId="3C1962D4" w14:textId="77777777" w:rsidTr="0075656B">
        <w:trPr>
          <w:trHeight w:val="210"/>
        </w:trPr>
        <w:tc>
          <w:tcPr>
            <w:tcW w:w="2972" w:type="dxa"/>
            <w:shd w:val="clear" w:color="auto" w:fill="auto"/>
            <w:vAlign w:val="center"/>
          </w:tcPr>
          <w:p w14:paraId="3EA9A203" w14:textId="77777777" w:rsidR="005878CC" w:rsidRPr="0075656B" w:rsidRDefault="005878CC" w:rsidP="00A1201F">
            <w:pPr>
              <w:spacing w:after="0" w:line="240" w:lineRule="auto"/>
              <w:jc w:val="center"/>
              <w:rPr>
                <w:rFonts w:ascii="Times New Roman" w:eastAsia="MS Gothic" w:hAnsi="Times New Roman"/>
                <w:i/>
                <w:sz w:val="18"/>
                <w:szCs w:val="18"/>
              </w:rPr>
            </w:pPr>
            <w:r w:rsidRPr="0075656B">
              <w:rPr>
                <w:rFonts w:ascii="Times New Roman" w:eastAsia="MS Gothic" w:hAnsi="Times New Roman"/>
                <w:i/>
                <w:sz w:val="18"/>
                <w:szCs w:val="18"/>
              </w:rPr>
              <w:t>Дата и время регистрации</w:t>
            </w:r>
          </w:p>
        </w:tc>
        <w:tc>
          <w:tcPr>
            <w:tcW w:w="3402" w:type="dxa"/>
            <w:shd w:val="clear" w:color="auto" w:fill="auto"/>
            <w:vAlign w:val="center"/>
          </w:tcPr>
          <w:p w14:paraId="0CB933E5" w14:textId="77777777" w:rsidR="005878CC" w:rsidRPr="0075656B" w:rsidRDefault="005878CC" w:rsidP="00A1201F">
            <w:pPr>
              <w:spacing w:after="0" w:line="240" w:lineRule="auto"/>
              <w:jc w:val="center"/>
              <w:rPr>
                <w:rFonts w:ascii="Times New Roman" w:eastAsia="MS Gothic" w:hAnsi="Times New Roman"/>
                <w:i/>
                <w:sz w:val="18"/>
                <w:szCs w:val="18"/>
              </w:rPr>
            </w:pPr>
            <w:r w:rsidRPr="0075656B">
              <w:rPr>
                <w:rFonts w:ascii="Times New Roman" w:eastAsia="MS Gothic" w:hAnsi="Times New Roman"/>
                <w:i/>
                <w:sz w:val="18"/>
                <w:szCs w:val="18"/>
              </w:rPr>
              <w:t>ФИО сотрудника</w:t>
            </w:r>
          </w:p>
        </w:tc>
        <w:tc>
          <w:tcPr>
            <w:tcW w:w="3143" w:type="dxa"/>
            <w:shd w:val="clear" w:color="auto" w:fill="auto"/>
            <w:vAlign w:val="center"/>
          </w:tcPr>
          <w:p w14:paraId="380893C3" w14:textId="77777777" w:rsidR="005878CC" w:rsidRPr="0075656B" w:rsidRDefault="005878CC" w:rsidP="00A1201F">
            <w:pPr>
              <w:spacing w:after="0" w:line="240" w:lineRule="auto"/>
              <w:jc w:val="center"/>
              <w:rPr>
                <w:rFonts w:ascii="Times New Roman" w:eastAsia="MS Gothic" w:hAnsi="Times New Roman"/>
                <w:i/>
                <w:sz w:val="18"/>
                <w:szCs w:val="18"/>
              </w:rPr>
            </w:pPr>
            <w:r w:rsidRPr="0075656B">
              <w:rPr>
                <w:rFonts w:ascii="Times New Roman" w:eastAsia="MS Gothic" w:hAnsi="Times New Roman"/>
                <w:i/>
                <w:sz w:val="18"/>
                <w:szCs w:val="18"/>
              </w:rPr>
              <w:t>Подпись</w:t>
            </w:r>
          </w:p>
        </w:tc>
      </w:tr>
    </w:tbl>
    <w:p w14:paraId="708B499B" w14:textId="77777777" w:rsidR="005878CC" w:rsidRPr="0075656B" w:rsidRDefault="005878CC" w:rsidP="00FB3AEA">
      <w:pPr>
        <w:rPr>
          <w:rFonts w:ascii="Times New Roman" w:hAnsi="Times New Roman"/>
        </w:rPr>
      </w:pPr>
    </w:p>
    <w:sectPr w:rsidR="005878CC" w:rsidRPr="0075656B" w:rsidSect="00AB2F98">
      <w:footerReference w:type="default" r:id="rId8"/>
      <w:footnotePr>
        <w:pos w:val="beneathText"/>
        <w:numStart w:val="7"/>
      </w:footnotePr>
      <w:endnotePr>
        <w:numFmt w:val="decimal"/>
      </w:endnotePr>
      <w:pgSz w:w="11907" w:h="16839" w:code="9"/>
      <w:pgMar w:top="1134" w:right="850" w:bottom="1134" w:left="1701" w:header="426"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8AECA0" w16cex:dateUtc="2024-09-10T13:04:00Z"/>
  <w16cex:commentExtensible w16cex:durableId="2A8AECFA" w16cex:dateUtc="2024-09-10T13:06:00Z"/>
  <w16cex:commentExtensible w16cex:durableId="2A8AEE72" w16cex:dateUtc="2024-09-10T13: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D55EE" w14:textId="77777777" w:rsidR="00802E57" w:rsidRDefault="00802E57" w:rsidP="00BA3898">
      <w:pPr>
        <w:spacing w:after="0" w:line="240" w:lineRule="auto"/>
      </w:pPr>
      <w:r>
        <w:separator/>
      </w:r>
    </w:p>
  </w:endnote>
  <w:endnote w:type="continuationSeparator" w:id="0">
    <w:p w14:paraId="52AFCB4B" w14:textId="77777777" w:rsidR="00802E57" w:rsidRDefault="00802E57" w:rsidP="00BA3898">
      <w:pPr>
        <w:spacing w:after="0" w:line="240" w:lineRule="auto"/>
      </w:pPr>
      <w:r>
        <w:continuationSeparator/>
      </w:r>
    </w:p>
  </w:endnote>
  <w:endnote w:type="continuationNotice" w:id="1">
    <w:p w14:paraId="32B21E0D" w14:textId="77777777" w:rsidR="00802E57" w:rsidRDefault="00802E57">
      <w:pPr>
        <w:spacing w:after="0" w:line="240" w:lineRule="auto"/>
      </w:pPr>
    </w:p>
  </w:endnote>
  <w:endnote w:id="2">
    <w:p w14:paraId="5087BCDB" w14:textId="19EDA767" w:rsidR="0041750B" w:rsidRDefault="0041750B" w:rsidP="001730AC">
      <w:pPr>
        <w:pStyle w:val="af3"/>
        <w:jc w:val="both"/>
      </w:pPr>
      <w:r w:rsidRPr="001730AC">
        <w:rPr>
          <w:rStyle w:val="af5"/>
          <w:rFonts w:ascii="Times New Roman" w:hAnsi="Times New Roman"/>
          <w:sz w:val="14"/>
          <w:szCs w:val="14"/>
        </w:rPr>
        <w:endnoteRef/>
      </w:r>
      <w:r>
        <w:t xml:space="preserve"> </w:t>
      </w:r>
      <w:r w:rsidRPr="001730AC">
        <w:rPr>
          <w:rFonts w:ascii="Times New Roman" w:hAnsi="Times New Roman"/>
          <w:sz w:val="14"/>
          <w:szCs w:val="14"/>
        </w:rPr>
        <w:t>Возможность совершения сделок (заключения договоров) на срочном рынке ПАО Московская Биржа предоставляется Клиентам, заявившим о предоставлении им возможности совершения необеспеченных сделок. В случае если в одном Заявлении стоит отметка о регистрации в торговой системе ПАО Московская Биржа: Срочный рынок, при этом Клиент не заявил о предоставлении ему права совершения необеспеченных сделок, Компания не принимает во внимание отметку Клиента о регистрации в торговой системе ПАО Московская Биржа: Срочный рынок.</w:t>
      </w:r>
    </w:p>
  </w:endnote>
  <w:endnote w:id="3">
    <w:p w14:paraId="5EA0E12A" w14:textId="77777777" w:rsidR="0041750B" w:rsidRPr="009B7185" w:rsidRDefault="0041750B" w:rsidP="003C54E4">
      <w:pPr>
        <w:pStyle w:val="af3"/>
        <w:jc w:val="both"/>
        <w:rPr>
          <w:rFonts w:ascii="Times New Roman" w:hAnsi="Times New Roman"/>
          <w:sz w:val="14"/>
          <w:szCs w:val="14"/>
        </w:rPr>
      </w:pPr>
      <w:r w:rsidRPr="009B7185">
        <w:rPr>
          <w:rStyle w:val="af5"/>
          <w:rFonts w:ascii="Times New Roman" w:hAnsi="Times New Roman"/>
          <w:sz w:val="14"/>
          <w:szCs w:val="14"/>
        </w:rPr>
        <w:endnoteRef/>
      </w:r>
      <w:r w:rsidRPr="009B7185">
        <w:rPr>
          <w:rFonts w:ascii="Times New Roman" w:hAnsi="Times New Roman"/>
          <w:sz w:val="14"/>
          <w:szCs w:val="14"/>
        </w:rPr>
        <w:t xml:space="preserve"> Подача поручений на совершение сделок с драгоценными металлами не доступна клиентам, Договор о брокерском обслуживании с которыми предусматривает открытие и ведение индивидуального инвестиционного счета.</w:t>
      </w:r>
    </w:p>
  </w:endnote>
  <w:endnote w:id="4">
    <w:p w14:paraId="3AFBFEBA" w14:textId="1A894157" w:rsidR="0041750B" w:rsidRPr="009B7185" w:rsidRDefault="0041750B" w:rsidP="00AB2F98">
      <w:pPr>
        <w:pStyle w:val="af3"/>
        <w:jc w:val="both"/>
        <w:rPr>
          <w:rFonts w:ascii="Times New Roman" w:hAnsi="Times New Roman"/>
          <w:sz w:val="14"/>
          <w:szCs w:val="14"/>
        </w:rPr>
      </w:pPr>
      <w:r w:rsidRPr="009B7185">
        <w:rPr>
          <w:rStyle w:val="af5"/>
          <w:rFonts w:ascii="Times New Roman" w:hAnsi="Times New Roman"/>
          <w:sz w:val="14"/>
          <w:szCs w:val="14"/>
        </w:rPr>
        <w:endnoteRef/>
      </w:r>
      <w:r w:rsidRPr="009B7185">
        <w:rPr>
          <w:rFonts w:ascii="Times New Roman" w:hAnsi="Times New Roman"/>
          <w:sz w:val="14"/>
          <w:szCs w:val="14"/>
        </w:rPr>
        <w:t xml:space="preserve"> </w:t>
      </w:r>
      <w:r w:rsidRPr="00B267F9">
        <w:rPr>
          <w:rFonts w:ascii="Times New Roman" w:hAnsi="Times New Roman"/>
          <w:sz w:val="14"/>
          <w:szCs w:val="14"/>
        </w:rPr>
        <w:t xml:space="preserve">Описание тарифного плана содержится в Приложении № </w:t>
      </w:r>
      <w:r>
        <w:rPr>
          <w:rFonts w:ascii="Times New Roman" w:hAnsi="Times New Roman"/>
          <w:sz w:val="14"/>
          <w:szCs w:val="14"/>
        </w:rPr>
        <w:t>3</w:t>
      </w:r>
      <w:r w:rsidRPr="00B267F9">
        <w:rPr>
          <w:rFonts w:ascii="Times New Roman" w:hAnsi="Times New Roman"/>
          <w:sz w:val="14"/>
          <w:szCs w:val="14"/>
        </w:rPr>
        <w:t xml:space="preserve"> к Регламенту брокерского обслуживания.</w:t>
      </w:r>
    </w:p>
  </w:endnote>
  <w:endnote w:id="5">
    <w:p w14:paraId="60BB50F2" w14:textId="77777777" w:rsidR="0041750B" w:rsidRPr="0075656B" w:rsidRDefault="0041750B" w:rsidP="00AB2F98">
      <w:pPr>
        <w:pStyle w:val="af3"/>
        <w:jc w:val="both"/>
        <w:rPr>
          <w:rFonts w:ascii="Times New Roman" w:hAnsi="Times New Roman"/>
          <w:sz w:val="14"/>
          <w:szCs w:val="14"/>
        </w:rPr>
      </w:pPr>
      <w:r w:rsidRPr="009B7185">
        <w:rPr>
          <w:rStyle w:val="af5"/>
          <w:rFonts w:ascii="Times New Roman" w:hAnsi="Times New Roman"/>
          <w:sz w:val="14"/>
          <w:szCs w:val="14"/>
        </w:rPr>
        <w:endnoteRef/>
      </w:r>
      <w:r w:rsidRPr="009B7185">
        <w:rPr>
          <w:rFonts w:ascii="Times New Roman" w:hAnsi="Times New Roman"/>
          <w:sz w:val="14"/>
          <w:szCs w:val="14"/>
        </w:rPr>
        <w:t xml:space="preserve"> Индивидуальный тарифный план фиксируется сторонами в дополнительном соглашении к Договору о брокерском</w:t>
      </w:r>
      <w:r w:rsidRPr="0075656B">
        <w:rPr>
          <w:rFonts w:ascii="Times New Roman" w:hAnsi="Times New Roman"/>
          <w:sz w:val="14"/>
          <w:szCs w:val="14"/>
        </w:rPr>
        <w:t xml:space="preserve"> обслуживании.</w:t>
      </w:r>
    </w:p>
  </w:endnote>
  <w:endnote w:id="6">
    <w:p w14:paraId="0D1D3181" w14:textId="77777777" w:rsidR="0041750B" w:rsidRPr="0075656B" w:rsidRDefault="0041750B" w:rsidP="00B62A14">
      <w:pPr>
        <w:pStyle w:val="af3"/>
        <w:jc w:val="both"/>
        <w:rPr>
          <w:rFonts w:ascii="Times New Roman" w:hAnsi="Times New Roman"/>
          <w:sz w:val="14"/>
          <w:szCs w:val="14"/>
        </w:rPr>
      </w:pPr>
      <w:r w:rsidRPr="0075656B">
        <w:rPr>
          <w:rStyle w:val="af5"/>
          <w:rFonts w:ascii="Times New Roman" w:hAnsi="Times New Roman"/>
          <w:sz w:val="14"/>
          <w:szCs w:val="14"/>
        </w:rPr>
        <w:endnoteRef/>
      </w:r>
      <w:r w:rsidRPr="0075656B">
        <w:rPr>
          <w:rStyle w:val="af5"/>
          <w:rFonts w:ascii="Times New Roman" w:hAnsi="Times New Roman"/>
          <w:sz w:val="14"/>
          <w:szCs w:val="14"/>
        </w:rPr>
        <w:t xml:space="preserve"> </w:t>
      </w:r>
      <w:r w:rsidRPr="0075656B">
        <w:rPr>
          <w:rFonts w:ascii="Times New Roman" w:hAnsi="Times New Roman"/>
          <w:sz w:val="14"/>
          <w:szCs w:val="14"/>
        </w:rPr>
        <w:t xml:space="preserve">Программное обеспечение Рабочее место </w:t>
      </w:r>
      <w:r w:rsidRPr="0075656B">
        <w:rPr>
          <w:rFonts w:ascii="Times New Roman" w:hAnsi="Times New Roman"/>
          <w:sz w:val="14"/>
          <w:szCs w:val="14"/>
          <w:lang w:val="en-US"/>
        </w:rPr>
        <w:t>QUIK</w:t>
      </w:r>
      <w:r w:rsidRPr="0075656B">
        <w:rPr>
          <w:rFonts w:ascii="Times New Roman" w:hAnsi="Times New Roman"/>
          <w:sz w:val="14"/>
          <w:szCs w:val="14"/>
        </w:rPr>
        <w:t xml:space="preserve"> предоставляется безвозмездно.</w:t>
      </w:r>
    </w:p>
  </w:endnote>
  <w:endnote w:id="7">
    <w:p w14:paraId="3400D052" w14:textId="77777777" w:rsidR="0041750B" w:rsidRPr="00551845" w:rsidRDefault="0041750B" w:rsidP="00AB2F98">
      <w:pPr>
        <w:pStyle w:val="af3"/>
        <w:jc w:val="both"/>
        <w:rPr>
          <w:sz w:val="14"/>
          <w:szCs w:val="14"/>
        </w:rPr>
      </w:pPr>
      <w:r w:rsidRPr="0075656B">
        <w:rPr>
          <w:rStyle w:val="af5"/>
          <w:rFonts w:ascii="Times New Roman" w:hAnsi="Times New Roman"/>
          <w:sz w:val="14"/>
          <w:szCs w:val="14"/>
        </w:rPr>
        <w:endnoteRef/>
      </w:r>
      <w:r w:rsidRPr="0075656B">
        <w:rPr>
          <w:rFonts w:ascii="Times New Roman" w:hAnsi="Times New Roman"/>
          <w:sz w:val="14"/>
          <w:szCs w:val="14"/>
        </w:rPr>
        <w:t xml:space="preserve"> Настоящий пункт предназначен для заполнения физическими лицами, намеренными заключить договор на брокерского обслуживание, предусматривающий открытие и ведение индивидуального инвестиционного счета. Выбирается один из двух вариантов.</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C0504" w14:textId="77777777" w:rsidR="0041750B" w:rsidRPr="00E11D62" w:rsidRDefault="0041750B">
    <w:pPr>
      <w:pStyle w:val="ae"/>
      <w:rPr>
        <w:sz w:val="12"/>
        <w:szCs w:val="12"/>
      </w:rPr>
    </w:pPr>
  </w:p>
  <w:p w14:paraId="534FECD2" w14:textId="77777777" w:rsidR="0041750B" w:rsidRPr="00E11D62" w:rsidRDefault="0041750B" w:rsidP="00E11D62">
    <w:pPr>
      <w:pStyle w:val="a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EDD3E" w14:textId="77777777" w:rsidR="00802E57" w:rsidRDefault="00802E57" w:rsidP="00BA3898">
      <w:pPr>
        <w:spacing w:after="0" w:line="240" w:lineRule="auto"/>
      </w:pPr>
      <w:r>
        <w:separator/>
      </w:r>
    </w:p>
  </w:footnote>
  <w:footnote w:type="continuationSeparator" w:id="0">
    <w:p w14:paraId="7A70C61C" w14:textId="77777777" w:rsidR="00802E57" w:rsidRDefault="00802E57" w:rsidP="00BA3898">
      <w:pPr>
        <w:spacing w:after="0" w:line="240" w:lineRule="auto"/>
      </w:pPr>
      <w:r>
        <w:continuationSeparator/>
      </w:r>
    </w:p>
  </w:footnote>
  <w:footnote w:type="continuationNotice" w:id="1">
    <w:p w14:paraId="1B889FBF" w14:textId="77777777" w:rsidR="00802E57" w:rsidRDefault="00802E5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50AC"/>
    <w:multiLevelType w:val="hybridMultilevel"/>
    <w:tmpl w:val="F2682B22"/>
    <w:lvl w:ilvl="0" w:tplc="2F88C03A">
      <w:start w:val="1"/>
      <w:numFmt w:val="lowerLetter"/>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 w15:restartNumberingAfterBreak="0">
    <w:nsid w:val="02A345E0"/>
    <w:multiLevelType w:val="hybridMultilevel"/>
    <w:tmpl w:val="AF98DB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744EEB"/>
    <w:multiLevelType w:val="hybridMultilevel"/>
    <w:tmpl w:val="641C1D10"/>
    <w:lvl w:ilvl="0" w:tplc="3C609CE8">
      <w:start w:val="1"/>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BB378DC"/>
    <w:multiLevelType w:val="multilevel"/>
    <w:tmpl w:val="EBC8FFD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i w:val="0"/>
        <w:color w:val="000000"/>
      </w:rPr>
    </w:lvl>
    <w:lvl w:ilvl="3">
      <w:start w:val="1"/>
      <w:numFmt w:val="decimal"/>
      <w:lvlText w:val="%1.%2.%3.%4."/>
      <w:lvlJc w:val="left"/>
      <w:pPr>
        <w:tabs>
          <w:tab w:val="num" w:pos="2498"/>
        </w:tabs>
        <w:ind w:left="2498" w:hanging="1080"/>
      </w:pPr>
      <w:rPr>
        <w:rFont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F920A62"/>
    <w:multiLevelType w:val="hybridMultilevel"/>
    <w:tmpl w:val="F2148CCC"/>
    <w:lvl w:ilvl="0" w:tplc="0B0C50BC">
      <w:start w:val="1"/>
      <w:numFmt w:val="decimal"/>
      <w:lvlText w:val="%1."/>
      <w:lvlJc w:val="left"/>
      <w:pPr>
        <w:ind w:left="720" w:hanging="360"/>
      </w:pPr>
      <w:rPr>
        <w:rFonts w:hint="default"/>
        <w:b/>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CF0335"/>
    <w:multiLevelType w:val="hybridMultilevel"/>
    <w:tmpl w:val="5EE4DE8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8E548AF"/>
    <w:multiLevelType w:val="hybridMultilevel"/>
    <w:tmpl w:val="2402D77E"/>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CE66833"/>
    <w:multiLevelType w:val="hybridMultilevel"/>
    <w:tmpl w:val="83C6AFFC"/>
    <w:lvl w:ilvl="0" w:tplc="04190005">
      <w:start w:val="1"/>
      <w:numFmt w:val="bullet"/>
      <w:lvlText w:val=""/>
      <w:lvlJc w:val="left"/>
      <w:pPr>
        <w:ind w:left="394" w:hanging="360"/>
      </w:pPr>
      <w:rPr>
        <w:rFonts w:ascii="Wingdings" w:hAnsi="Wingdings" w:hint="default"/>
        <w:b w:val="0"/>
        <w:sz w:val="16"/>
        <w:szCs w:val="16"/>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15:restartNumberingAfterBreak="0">
    <w:nsid w:val="23441436"/>
    <w:multiLevelType w:val="multilevel"/>
    <w:tmpl w:val="0DC6D5A6"/>
    <w:lvl w:ilvl="0">
      <w:start w:val="1"/>
      <w:numFmt w:val="upperRoman"/>
      <w:lvlText w:val="%1."/>
      <w:lvlJc w:val="left"/>
      <w:pPr>
        <w:ind w:left="1287" w:hanging="720"/>
      </w:pPr>
      <w:rPr>
        <w:rFonts w:hint="default"/>
        <w:b w:val="0"/>
      </w:rPr>
    </w:lvl>
    <w:lvl w:ilvl="1">
      <w:start w:val="10"/>
      <w:numFmt w:val="decimal"/>
      <w:isLgl/>
      <w:lvlText w:val="%1.%2."/>
      <w:lvlJc w:val="left"/>
      <w:pPr>
        <w:ind w:left="1707" w:hanging="1140"/>
      </w:pPr>
      <w:rPr>
        <w:rFonts w:hint="default"/>
      </w:rPr>
    </w:lvl>
    <w:lvl w:ilvl="2">
      <w:start w:val="1"/>
      <w:numFmt w:val="decimal"/>
      <w:isLgl/>
      <w:lvlText w:val="%1.%2.%3."/>
      <w:lvlJc w:val="left"/>
      <w:pPr>
        <w:ind w:left="1707" w:hanging="1140"/>
      </w:pPr>
      <w:rPr>
        <w:rFonts w:hint="default"/>
      </w:rPr>
    </w:lvl>
    <w:lvl w:ilvl="3">
      <w:start w:val="1"/>
      <w:numFmt w:val="decimal"/>
      <w:isLgl/>
      <w:lvlText w:val="%1.%2.%3.%4."/>
      <w:lvlJc w:val="left"/>
      <w:pPr>
        <w:ind w:left="1707" w:hanging="1140"/>
      </w:pPr>
      <w:rPr>
        <w:rFonts w:hint="default"/>
      </w:rPr>
    </w:lvl>
    <w:lvl w:ilvl="4">
      <w:start w:val="1"/>
      <w:numFmt w:val="decimal"/>
      <w:isLgl/>
      <w:lvlText w:val="%1.%2.%3.%4.%5."/>
      <w:lvlJc w:val="left"/>
      <w:pPr>
        <w:ind w:left="1707" w:hanging="1140"/>
      </w:pPr>
      <w:rPr>
        <w:rFonts w:hint="default"/>
      </w:rPr>
    </w:lvl>
    <w:lvl w:ilvl="5">
      <w:start w:val="1"/>
      <w:numFmt w:val="decimal"/>
      <w:isLgl/>
      <w:lvlText w:val="%1.%2.%3.%4.%5.%6."/>
      <w:lvlJc w:val="left"/>
      <w:pPr>
        <w:ind w:left="1707" w:hanging="11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26FB1E3A"/>
    <w:multiLevelType w:val="hybridMultilevel"/>
    <w:tmpl w:val="A3B4A720"/>
    <w:lvl w:ilvl="0" w:tplc="C17E7EEC">
      <w:start w:val="1"/>
      <w:numFmt w:val="decimal"/>
      <w:lvlText w:val="%1."/>
      <w:lvlJc w:val="left"/>
      <w:pPr>
        <w:ind w:left="1206" w:hanging="360"/>
      </w:pPr>
      <w:rPr>
        <w:rFonts w:hint="default"/>
      </w:rPr>
    </w:lvl>
    <w:lvl w:ilvl="1" w:tplc="04190019" w:tentative="1">
      <w:start w:val="1"/>
      <w:numFmt w:val="lowerLetter"/>
      <w:lvlText w:val="%2."/>
      <w:lvlJc w:val="left"/>
      <w:pPr>
        <w:ind w:left="1926" w:hanging="360"/>
      </w:pPr>
    </w:lvl>
    <w:lvl w:ilvl="2" w:tplc="0419001B" w:tentative="1">
      <w:start w:val="1"/>
      <w:numFmt w:val="lowerRoman"/>
      <w:lvlText w:val="%3."/>
      <w:lvlJc w:val="right"/>
      <w:pPr>
        <w:ind w:left="2646" w:hanging="180"/>
      </w:pPr>
    </w:lvl>
    <w:lvl w:ilvl="3" w:tplc="0419000F" w:tentative="1">
      <w:start w:val="1"/>
      <w:numFmt w:val="decimal"/>
      <w:lvlText w:val="%4."/>
      <w:lvlJc w:val="left"/>
      <w:pPr>
        <w:ind w:left="3366" w:hanging="360"/>
      </w:pPr>
    </w:lvl>
    <w:lvl w:ilvl="4" w:tplc="04190019" w:tentative="1">
      <w:start w:val="1"/>
      <w:numFmt w:val="lowerLetter"/>
      <w:lvlText w:val="%5."/>
      <w:lvlJc w:val="left"/>
      <w:pPr>
        <w:ind w:left="4086" w:hanging="360"/>
      </w:pPr>
    </w:lvl>
    <w:lvl w:ilvl="5" w:tplc="0419001B" w:tentative="1">
      <w:start w:val="1"/>
      <w:numFmt w:val="lowerRoman"/>
      <w:lvlText w:val="%6."/>
      <w:lvlJc w:val="right"/>
      <w:pPr>
        <w:ind w:left="4806" w:hanging="180"/>
      </w:pPr>
    </w:lvl>
    <w:lvl w:ilvl="6" w:tplc="0419000F" w:tentative="1">
      <w:start w:val="1"/>
      <w:numFmt w:val="decimal"/>
      <w:lvlText w:val="%7."/>
      <w:lvlJc w:val="left"/>
      <w:pPr>
        <w:ind w:left="5526" w:hanging="360"/>
      </w:pPr>
    </w:lvl>
    <w:lvl w:ilvl="7" w:tplc="04190019" w:tentative="1">
      <w:start w:val="1"/>
      <w:numFmt w:val="lowerLetter"/>
      <w:lvlText w:val="%8."/>
      <w:lvlJc w:val="left"/>
      <w:pPr>
        <w:ind w:left="6246" w:hanging="360"/>
      </w:pPr>
    </w:lvl>
    <w:lvl w:ilvl="8" w:tplc="0419001B" w:tentative="1">
      <w:start w:val="1"/>
      <w:numFmt w:val="lowerRoman"/>
      <w:lvlText w:val="%9."/>
      <w:lvlJc w:val="right"/>
      <w:pPr>
        <w:ind w:left="6966" w:hanging="180"/>
      </w:pPr>
    </w:lvl>
  </w:abstractNum>
  <w:abstractNum w:abstractNumId="10" w15:restartNumberingAfterBreak="0">
    <w:nsid w:val="319D1A95"/>
    <w:multiLevelType w:val="hybridMultilevel"/>
    <w:tmpl w:val="6D90A47C"/>
    <w:lvl w:ilvl="0" w:tplc="C6CAAA06">
      <w:start w:val="1"/>
      <w:numFmt w:val="decimal"/>
      <w:lvlText w:val="%1."/>
      <w:lvlJc w:val="left"/>
      <w:pPr>
        <w:ind w:left="720" w:hanging="360"/>
      </w:pPr>
      <w:rPr>
        <w:rFonts w:hint="default"/>
        <w:b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2CD1436"/>
    <w:multiLevelType w:val="hybridMultilevel"/>
    <w:tmpl w:val="3490CF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761F84"/>
    <w:multiLevelType w:val="hybridMultilevel"/>
    <w:tmpl w:val="8BD297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E421FA2"/>
    <w:multiLevelType w:val="hybridMultilevel"/>
    <w:tmpl w:val="B132583A"/>
    <w:lvl w:ilvl="0" w:tplc="1DEA14F6">
      <w:start w:val="1"/>
      <w:numFmt w:val="decimal"/>
      <w:lvlText w:val="%1."/>
      <w:lvlJc w:val="left"/>
      <w:pPr>
        <w:ind w:left="394" w:hanging="360"/>
      </w:pPr>
      <w:rPr>
        <w:rFonts w:hint="default"/>
        <w:b w:val="0"/>
        <w:sz w:val="16"/>
        <w:szCs w:val="16"/>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4" w15:restartNumberingAfterBreak="0">
    <w:nsid w:val="4314146C"/>
    <w:multiLevelType w:val="hybridMultilevel"/>
    <w:tmpl w:val="34C269D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4A212460"/>
    <w:multiLevelType w:val="multilevel"/>
    <w:tmpl w:val="FF0E61CC"/>
    <w:lvl w:ilvl="0">
      <w:start w:val="1"/>
      <w:numFmt w:val="decimal"/>
      <w:lvlText w:val="%1."/>
      <w:lvlJc w:val="left"/>
      <w:pPr>
        <w:ind w:left="720" w:hanging="360"/>
      </w:pPr>
      <w:rPr>
        <w:rFonts w:hint="default"/>
        <w:b w:val="0"/>
        <w:sz w:val="18"/>
        <w:szCs w:val="18"/>
      </w:rPr>
    </w:lvl>
    <w:lvl w:ilvl="1">
      <w:start w:val="1"/>
      <w:numFmt w:val="decimal"/>
      <w:isLgl/>
      <w:lvlText w:val="%1.%2."/>
      <w:lvlJc w:val="left"/>
      <w:pPr>
        <w:ind w:left="1080" w:hanging="720"/>
      </w:pPr>
      <w:rPr>
        <w:rFonts w:hint="default"/>
        <w:i w:val="0"/>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AAD00FA"/>
    <w:multiLevelType w:val="hybridMultilevel"/>
    <w:tmpl w:val="1BF25E48"/>
    <w:lvl w:ilvl="0" w:tplc="0B2C00E2">
      <w:start w:val="1"/>
      <w:numFmt w:val="upp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E710025"/>
    <w:multiLevelType w:val="multilevel"/>
    <w:tmpl w:val="FD9E5478"/>
    <w:lvl w:ilvl="0">
      <w:start w:val="10"/>
      <w:numFmt w:val="decimal"/>
      <w:lvlText w:val="%1."/>
      <w:lvlJc w:val="left"/>
      <w:pPr>
        <w:ind w:left="480" w:hanging="480"/>
      </w:pPr>
      <w:rPr>
        <w:rFonts w:hint="default"/>
      </w:rPr>
    </w:lvl>
    <w:lvl w:ilvl="1">
      <w:start w:val="1"/>
      <w:numFmt w:val="decimal"/>
      <w:lvlText w:val="%1.%2."/>
      <w:lvlJc w:val="left"/>
      <w:pPr>
        <w:ind w:left="720" w:hanging="720"/>
      </w:pPr>
      <w:rPr>
        <w:rFonts w:ascii="Verdana" w:hAnsi="Verdana" w:hint="default"/>
        <w:b/>
        <w:sz w:val="16"/>
        <w:szCs w:val="16"/>
      </w:rPr>
    </w:lvl>
    <w:lvl w:ilvl="2">
      <w:start w:val="1"/>
      <w:numFmt w:val="decimal"/>
      <w:lvlText w:val="%1.%2.%3."/>
      <w:lvlJc w:val="left"/>
      <w:pPr>
        <w:ind w:left="720" w:hanging="720"/>
      </w:pPr>
      <w:rPr>
        <w:rFonts w:ascii="Verdana" w:hAnsi="Verdana" w:hint="default"/>
        <w:b w:val="0"/>
        <w:sz w:val="16"/>
        <w:szCs w:val="1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6231B8"/>
    <w:multiLevelType w:val="multilevel"/>
    <w:tmpl w:val="FF0E61CC"/>
    <w:lvl w:ilvl="0">
      <w:start w:val="1"/>
      <w:numFmt w:val="decimal"/>
      <w:lvlText w:val="%1."/>
      <w:lvlJc w:val="left"/>
      <w:pPr>
        <w:ind w:left="720" w:hanging="360"/>
      </w:pPr>
      <w:rPr>
        <w:rFonts w:hint="default"/>
        <w:b w:val="0"/>
        <w:sz w:val="18"/>
        <w:szCs w:val="18"/>
      </w:rPr>
    </w:lvl>
    <w:lvl w:ilvl="1">
      <w:start w:val="1"/>
      <w:numFmt w:val="decimal"/>
      <w:isLgl/>
      <w:lvlText w:val="%1.%2."/>
      <w:lvlJc w:val="left"/>
      <w:pPr>
        <w:ind w:left="1080" w:hanging="720"/>
      </w:pPr>
      <w:rPr>
        <w:rFonts w:hint="default"/>
        <w:i w:val="0"/>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6FD00B0"/>
    <w:multiLevelType w:val="hybridMultilevel"/>
    <w:tmpl w:val="4D7AD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88004A"/>
    <w:multiLevelType w:val="hybridMultilevel"/>
    <w:tmpl w:val="DBDE7260"/>
    <w:lvl w:ilvl="0" w:tplc="1CFC5F8C">
      <w:start w:val="2"/>
      <w:numFmt w:val="lowerLetter"/>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1" w15:restartNumberingAfterBreak="0">
    <w:nsid w:val="65054003"/>
    <w:multiLevelType w:val="hybridMultilevel"/>
    <w:tmpl w:val="EF8EBE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690106F4"/>
    <w:multiLevelType w:val="multilevel"/>
    <w:tmpl w:val="D320EA8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360"/>
        </w:tabs>
        <w:ind w:left="360" w:hanging="360"/>
      </w:pPr>
      <w:rPr>
        <w:rFonts w:ascii="Wingdings" w:hAnsi="Wingding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6AB60FC9"/>
    <w:multiLevelType w:val="hybridMultilevel"/>
    <w:tmpl w:val="4CDA99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6F682660"/>
    <w:multiLevelType w:val="hybridMultilevel"/>
    <w:tmpl w:val="E676BF2E"/>
    <w:lvl w:ilvl="0" w:tplc="04190005">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5" w15:restartNumberingAfterBreak="0">
    <w:nsid w:val="77DA3D8A"/>
    <w:multiLevelType w:val="hybridMultilevel"/>
    <w:tmpl w:val="CB62E9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7991710E"/>
    <w:multiLevelType w:val="hybridMultilevel"/>
    <w:tmpl w:val="D8F2743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8"/>
  </w:num>
  <w:num w:numId="2">
    <w:abstractNumId w:val="4"/>
  </w:num>
  <w:num w:numId="3">
    <w:abstractNumId w:val="3"/>
  </w:num>
  <w:num w:numId="4">
    <w:abstractNumId w:val="8"/>
  </w:num>
  <w:num w:numId="5">
    <w:abstractNumId w:val="2"/>
  </w:num>
  <w:num w:numId="6">
    <w:abstractNumId w:val="14"/>
  </w:num>
  <w:num w:numId="7">
    <w:abstractNumId w:val="6"/>
  </w:num>
  <w:num w:numId="8">
    <w:abstractNumId w:val="11"/>
  </w:num>
  <w:num w:numId="9">
    <w:abstractNumId w:val="1"/>
  </w:num>
  <w:num w:numId="10">
    <w:abstractNumId w:val="16"/>
  </w:num>
  <w:num w:numId="11">
    <w:abstractNumId w:val="26"/>
  </w:num>
  <w:num w:numId="12">
    <w:abstractNumId w:val="10"/>
  </w:num>
  <w:num w:numId="13">
    <w:abstractNumId w:val="0"/>
  </w:num>
  <w:num w:numId="14">
    <w:abstractNumId w:val="24"/>
  </w:num>
  <w:num w:numId="15">
    <w:abstractNumId w:val="20"/>
  </w:num>
  <w:num w:numId="16">
    <w:abstractNumId w:val="12"/>
  </w:num>
  <w:num w:numId="17">
    <w:abstractNumId w:val="19"/>
  </w:num>
  <w:num w:numId="18">
    <w:abstractNumId w:val="17"/>
  </w:num>
  <w:num w:numId="19">
    <w:abstractNumId w:val="9"/>
  </w:num>
  <w:num w:numId="20">
    <w:abstractNumId w:val="25"/>
  </w:num>
  <w:num w:numId="21">
    <w:abstractNumId w:val="23"/>
  </w:num>
  <w:num w:numId="22">
    <w:abstractNumId w:val="5"/>
  </w:num>
  <w:num w:numId="23">
    <w:abstractNumId w:val="21"/>
  </w:num>
  <w:num w:numId="24">
    <w:abstractNumId w:val="13"/>
  </w:num>
  <w:num w:numId="25">
    <w:abstractNumId w:val="22"/>
  </w:num>
  <w:num w:numId="26">
    <w:abstractNumId w:val="1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trackRevisions/>
  <w:defaultTabStop w:val="708"/>
  <w:characterSpacingControl w:val="doNotCompress"/>
  <w:hdrShapeDefaults>
    <o:shapedefaults v:ext="edit" spidmax="2049"/>
  </w:hdrShapeDefaults>
  <w:footnotePr>
    <w:pos w:val="beneathText"/>
    <w:numStart w:val="7"/>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445"/>
    <w:rsid w:val="00001E0F"/>
    <w:rsid w:val="000103F6"/>
    <w:rsid w:val="00010C68"/>
    <w:rsid w:val="0001185A"/>
    <w:rsid w:val="00014716"/>
    <w:rsid w:val="00014760"/>
    <w:rsid w:val="00014FCC"/>
    <w:rsid w:val="00016703"/>
    <w:rsid w:val="00016DB7"/>
    <w:rsid w:val="000178D4"/>
    <w:rsid w:val="000235D1"/>
    <w:rsid w:val="00024227"/>
    <w:rsid w:val="0002435E"/>
    <w:rsid w:val="00024BB7"/>
    <w:rsid w:val="00025EC7"/>
    <w:rsid w:val="0003029C"/>
    <w:rsid w:val="00032473"/>
    <w:rsid w:val="000329E8"/>
    <w:rsid w:val="00032B5D"/>
    <w:rsid w:val="00032E8B"/>
    <w:rsid w:val="00033EC0"/>
    <w:rsid w:val="0003645C"/>
    <w:rsid w:val="0004214D"/>
    <w:rsid w:val="00043EDB"/>
    <w:rsid w:val="000448EB"/>
    <w:rsid w:val="00045B4D"/>
    <w:rsid w:val="000537B7"/>
    <w:rsid w:val="0005386A"/>
    <w:rsid w:val="00053A68"/>
    <w:rsid w:val="0005415C"/>
    <w:rsid w:val="00054E80"/>
    <w:rsid w:val="000567F1"/>
    <w:rsid w:val="00061982"/>
    <w:rsid w:val="00061F25"/>
    <w:rsid w:val="00062AE9"/>
    <w:rsid w:val="000644EA"/>
    <w:rsid w:val="0006456E"/>
    <w:rsid w:val="00064C7D"/>
    <w:rsid w:val="000660EF"/>
    <w:rsid w:val="000665BD"/>
    <w:rsid w:val="00070D0A"/>
    <w:rsid w:val="00071E34"/>
    <w:rsid w:val="000722AD"/>
    <w:rsid w:val="0007232E"/>
    <w:rsid w:val="00074749"/>
    <w:rsid w:val="00075164"/>
    <w:rsid w:val="00082256"/>
    <w:rsid w:val="00085FEF"/>
    <w:rsid w:val="000918A7"/>
    <w:rsid w:val="00094C31"/>
    <w:rsid w:val="00095E8B"/>
    <w:rsid w:val="000A0D15"/>
    <w:rsid w:val="000A2342"/>
    <w:rsid w:val="000A273D"/>
    <w:rsid w:val="000A39FA"/>
    <w:rsid w:val="000A665E"/>
    <w:rsid w:val="000B01D6"/>
    <w:rsid w:val="000B0572"/>
    <w:rsid w:val="000B2D10"/>
    <w:rsid w:val="000B3BD2"/>
    <w:rsid w:val="000B6B66"/>
    <w:rsid w:val="000C2158"/>
    <w:rsid w:val="000C5A50"/>
    <w:rsid w:val="000C5EA4"/>
    <w:rsid w:val="000C7EDD"/>
    <w:rsid w:val="000D0CD7"/>
    <w:rsid w:val="000D19F0"/>
    <w:rsid w:val="000E64AA"/>
    <w:rsid w:val="000F0224"/>
    <w:rsid w:val="000F14F4"/>
    <w:rsid w:val="000F4EF4"/>
    <w:rsid w:val="000F5E38"/>
    <w:rsid w:val="000F7222"/>
    <w:rsid w:val="00100828"/>
    <w:rsid w:val="00110709"/>
    <w:rsid w:val="00111680"/>
    <w:rsid w:val="00111F93"/>
    <w:rsid w:val="00112F8D"/>
    <w:rsid w:val="00114EE9"/>
    <w:rsid w:val="00115B97"/>
    <w:rsid w:val="00123177"/>
    <w:rsid w:val="00123CE8"/>
    <w:rsid w:val="001246EF"/>
    <w:rsid w:val="00125939"/>
    <w:rsid w:val="00137FE5"/>
    <w:rsid w:val="001401CE"/>
    <w:rsid w:val="00141071"/>
    <w:rsid w:val="00147D2E"/>
    <w:rsid w:val="001517CD"/>
    <w:rsid w:val="00152F90"/>
    <w:rsid w:val="00155AD0"/>
    <w:rsid w:val="00156D13"/>
    <w:rsid w:val="001656B4"/>
    <w:rsid w:val="00165F4E"/>
    <w:rsid w:val="001730AC"/>
    <w:rsid w:val="00175A1A"/>
    <w:rsid w:val="0017615F"/>
    <w:rsid w:val="001775BE"/>
    <w:rsid w:val="00180C26"/>
    <w:rsid w:val="00182B94"/>
    <w:rsid w:val="0018313D"/>
    <w:rsid w:val="001839ED"/>
    <w:rsid w:val="00184BF6"/>
    <w:rsid w:val="00194152"/>
    <w:rsid w:val="001979D2"/>
    <w:rsid w:val="001A1333"/>
    <w:rsid w:val="001A2373"/>
    <w:rsid w:val="001A2695"/>
    <w:rsid w:val="001A4942"/>
    <w:rsid w:val="001A4957"/>
    <w:rsid w:val="001A680C"/>
    <w:rsid w:val="001A796C"/>
    <w:rsid w:val="001B1D85"/>
    <w:rsid w:val="001B7E8E"/>
    <w:rsid w:val="001C2C01"/>
    <w:rsid w:val="001C53A2"/>
    <w:rsid w:val="001C7145"/>
    <w:rsid w:val="001C756F"/>
    <w:rsid w:val="001D2661"/>
    <w:rsid w:val="001D2EE5"/>
    <w:rsid w:val="001D2FAB"/>
    <w:rsid w:val="001D3AA8"/>
    <w:rsid w:val="001D6ABC"/>
    <w:rsid w:val="001E0A9C"/>
    <w:rsid w:val="001E160C"/>
    <w:rsid w:val="001E2D7E"/>
    <w:rsid w:val="001E5B33"/>
    <w:rsid w:val="001F08A2"/>
    <w:rsid w:val="001F09F3"/>
    <w:rsid w:val="001F6474"/>
    <w:rsid w:val="001F6D1E"/>
    <w:rsid w:val="00202E7E"/>
    <w:rsid w:val="002039BD"/>
    <w:rsid w:val="00203A39"/>
    <w:rsid w:val="00205AD7"/>
    <w:rsid w:val="00207957"/>
    <w:rsid w:val="00210869"/>
    <w:rsid w:val="00213610"/>
    <w:rsid w:val="00213D47"/>
    <w:rsid w:val="00217B68"/>
    <w:rsid w:val="00221B84"/>
    <w:rsid w:val="00232061"/>
    <w:rsid w:val="00232DB2"/>
    <w:rsid w:val="00232E6D"/>
    <w:rsid w:val="00235B26"/>
    <w:rsid w:val="00236625"/>
    <w:rsid w:val="00240806"/>
    <w:rsid w:val="00240F35"/>
    <w:rsid w:val="00241779"/>
    <w:rsid w:val="00241AC8"/>
    <w:rsid w:val="00242441"/>
    <w:rsid w:val="00242C6F"/>
    <w:rsid w:val="00243C9C"/>
    <w:rsid w:val="0024473A"/>
    <w:rsid w:val="0024542F"/>
    <w:rsid w:val="0024598E"/>
    <w:rsid w:val="00246268"/>
    <w:rsid w:val="002465BD"/>
    <w:rsid w:val="00246B3B"/>
    <w:rsid w:val="00247A6D"/>
    <w:rsid w:val="002563C6"/>
    <w:rsid w:val="00256E7C"/>
    <w:rsid w:val="0025761F"/>
    <w:rsid w:val="00261522"/>
    <w:rsid w:val="00265886"/>
    <w:rsid w:val="00266D53"/>
    <w:rsid w:val="00267B40"/>
    <w:rsid w:val="00267B82"/>
    <w:rsid w:val="00267E41"/>
    <w:rsid w:val="002828C1"/>
    <w:rsid w:val="00284AA9"/>
    <w:rsid w:val="00290AD4"/>
    <w:rsid w:val="002942DA"/>
    <w:rsid w:val="002952CB"/>
    <w:rsid w:val="002973B0"/>
    <w:rsid w:val="0029793A"/>
    <w:rsid w:val="002A24E0"/>
    <w:rsid w:val="002A4D7E"/>
    <w:rsid w:val="002B1913"/>
    <w:rsid w:val="002B2D00"/>
    <w:rsid w:val="002B3192"/>
    <w:rsid w:val="002B4A75"/>
    <w:rsid w:val="002B561A"/>
    <w:rsid w:val="002B57C8"/>
    <w:rsid w:val="002B5B62"/>
    <w:rsid w:val="002C43E7"/>
    <w:rsid w:val="002C76B7"/>
    <w:rsid w:val="002C7C38"/>
    <w:rsid w:val="002C7F05"/>
    <w:rsid w:val="002D1365"/>
    <w:rsid w:val="002D3FFC"/>
    <w:rsid w:val="002D7213"/>
    <w:rsid w:val="002D7447"/>
    <w:rsid w:val="002E07FD"/>
    <w:rsid w:val="002E0E58"/>
    <w:rsid w:val="002E301A"/>
    <w:rsid w:val="002E431B"/>
    <w:rsid w:val="002E6071"/>
    <w:rsid w:val="002E6206"/>
    <w:rsid w:val="002E66C5"/>
    <w:rsid w:val="002E7DC7"/>
    <w:rsid w:val="002F12EE"/>
    <w:rsid w:val="002F201C"/>
    <w:rsid w:val="002F4E84"/>
    <w:rsid w:val="002F518F"/>
    <w:rsid w:val="0030029B"/>
    <w:rsid w:val="00300B34"/>
    <w:rsid w:val="00302755"/>
    <w:rsid w:val="00305C39"/>
    <w:rsid w:val="00307084"/>
    <w:rsid w:val="00307203"/>
    <w:rsid w:val="00307EF7"/>
    <w:rsid w:val="00310BE2"/>
    <w:rsid w:val="00316A9C"/>
    <w:rsid w:val="0032056C"/>
    <w:rsid w:val="00320840"/>
    <w:rsid w:val="00320D22"/>
    <w:rsid w:val="00323851"/>
    <w:rsid w:val="00324552"/>
    <w:rsid w:val="00330FA7"/>
    <w:rsid w:val="00331D50"/>
    <w:rsid w:val="00333D04"/>
    <w:rsid w:val="00334FFD"/>
    <w:rsid w:val="003355E9"/>
    <w:rsid w:val="003377EC"/>
    <w:rsid w:val="00342019"/>
    <w:rsid w:val="00342B60"/>
    <w:rsid w:val="00343909"/>
    <w:rsid w:val="003441E1"/>
    <w:rsid w:val="0035691D"/>
    <w:rsid w:val="00367D4B"/>
    <w:rsid w:val="00370BFE"/>
    <w:rsid w:val="00375EB7"/>
    <w:rsid w:val="00382DCC"/>
    <w:rsid w:val="0038416C"/>
    <w:rsid w:val="003843FF"/>
    <w:rsid w:val="003846FA"/>
    <w:rsid w:val="003869A4"/>
    <w:rsid w:val="00390F42"/>
    <w:rsid w:val="0039214A"/>
    <w:rsid w:val="00394978"/>
    <w:rsid w:val="003A0B0D"/>
    <w:rsid w:val="003A0CF3"/>
    <w:rsid w:val="003A1FC9"/>
    <w:rsid w:val="003A22B7"/>
    <w:rsid w:val="003A767D"/>
    <w:rsid w:val="003A7EFE"/>
    <w:rsid w:val="003B3B74"/>
    <w:rsid w:val="003B44A5"/>
    <w:rsid w:val="003B4A70"/>
    <w:rsid w:val="003B66D2"/>
    <w:rsid w:val="003C2676"/>
    <w:rsid w:val="003C54E4"/>
    <w:rsid w:val="003D03C9"/>
    <w:rsid w:val="003D275B"/>
    <w:rsid w:val="003D48A3"/>
    <w:rsid w:val="003D620B"/>
    <w:rsid w:val="003E09CC"/>
    <w:rsid w:val="003E3A68"/>
    <w:rsid w:val="003E58EE"/>
    <w:rsid w:val="003E706D"/>
    <w:rsid w:val="003F0108"/>
    <w:rsid w:val="003F09CF"/>
    <w:rsid w:val="003F226A"/>
    <w:rsid w:val="003F25C9"/>
    <w:rsid w:val="003F4B51"/>
    <w:rsid w:val="003F5628"/>
    <w:rsid w:val="003F61AD"/>
    <w:rsid w:val="003F6F0D"/>
    <w:rsid w:val="00404C33"/>
    <w:rsid w:val="004064B9"/>
    <w:rsid w:val="004122BE"/>
    <w:rsid w:val="00412456"/>
    <w:rsid w:val="00415D6D"/>
    <w:rsid w:val="0041750B"/>
    <w:rsid w:val="00422EDC"/>
    <w:rsid w:val="0042543A"/>
    <w:rsid w:val="004267D1"/>
    <w:rsid w:val="004309A0"/>
    <w:rsid w:val="00434A4C"/>
    <w:rsid w:val="00435909"/>
    <w:rsid w:val="00435A24"/>
    <w:rsid w:val="00444409"/>
    <w:rsid w:val="0044490D"/>
    <w:rsid w:val="004463DF"/>
    <w:rsid w:val="00446AD5"/>
    <w:rsid w:val="00451982"/>
    <w:rsid w:val="0045495A"/>
    <w:rsid w:val="00455D3F"/>
    <w:rsid w:val="004612C6"/>
    <w:rsid w:val="00462508"/>
    <w:rsid w:val="00462764"/>
    <w:rsid w:val="004664A2"/>
    <w:rsid w:val="004668EF"/>
    <w:rsid w:val="00471B43"/>
    <w:rsid w:val="00473019"/>
    <w:rsid w:val="00473BCD"/>
    <w:rsid w:val="00474166"/>
    <w:rsid w:val="00474AC0"/>
    <w:rsid w:val="00475473"/>
    <w:rsid w:val="00475BCB"/>
    <w:rsid w:val="00476C79"/>
    <w:rsid w:val="00480A36"/>
    <w:rsid w:val="004834BC"/>
    <w:rsid w:val="0048556E"/>
    <w:rsid w:val="00485F9D"/>
    <w:rsid w:val="00491C9F"/>
    <w:rsid w:val="004936BA"/>
    <w:rsid w:val="004957CE"/>
    <w:rsid w:val="00497D13"/>
    <w:rsid w:val="00497D3A"/>
    <w:rsid w:val="004A01DC"/>
    <w:rsid w:val="004A3A47"/>
    <w:rsid w:val="004A7F9D"/>
    <w:rsid w:val="004B101E"/>
    <w:rsid w:val="004C06FB"/>
    <w:rsid w:val="004C290E"/>
    <w:rsid w:val="004C393D"/>
    <w:rsid w:val="004C3A99"/>
    <w:rsid w:val="004C66E0"/>
    <w:rsid w:val="004C7B2F"/>
    <w:rsid w:val="004C7FE8"/>
    <w:rsid w:val="004D073F"/>
    <w:rsid w:val="004D1273"/>
    <w:rsid w:val="004D1988"/>
    <w:rsid w:val="004D1F6D"/>
    <w:rsid w:val="004D2568"/>
    <w:rsid w:val="004D5929"/>
    <w:rsid w:val="004E19CE"/>
    <w:rsid w:val="004E50C4"/>
    <w:rsid w:val="004E5AA5"/>
    <w:rsid w:val="004F13E1"/>
    <w:rsid w:val="004F3ACF"/>
    <w:rsid w:val="004F5826"/>
    <w:rsid w:val="004F61DB"/>
    <w:rsid w:val="00500A57"/>
    <w:rsid w:val="00500E6F"/>
    <w:rsid w:val="00501132"/>
    <w:rsid w:val="0050380E"/>
    <w:rsid w:val="00511842"/>
    <w:rsid w:val="00513B1A"/>
    <w:rsid w:val="005143BF"/>
    <w:rsid w:val="00515811"/>
    <w:rsid w:val="005251B0"/>
    <w:rsid w:val="00525E97"/>
    <w:rsid w:val="005272D0"/>
    <w:rsid w:val="00530C5D"/>
    <w:rsid w:val="00541029"/>
    <w:rsid w:val="00551845"/>
    <w:rsid w:val="00551D3B"/>
    <w:rsid w:val="00556C8C"/>
    <w:rsid w:val="00563997"/>
    <w:rsid w:val="00565A9B"/>
    <w:rsid w:val="005662E1"/>
    <w:rsid w:val="00566BF8"/>
    <w:rsid w:val="0056726E"/>
    <w:rsid w:val="0057045B"/>
    <w:rsid w:val="00581120"/>
    <w:rsid w:val="00581CF1"/>
    <w:rsid w:val="00583FF2"/>
    <w:rsid w:val="005857CC"/>
    <w:rsid w:val="00586AA1"/>
    <w:rsid w:val="005878CC"/>
    <w:rsid w:val="00590307"/>
    <w:rsid w:val="005908C4"/>
    <w:rsid w:val="00593EA3"/>
    <w:rsid w:val="005A0CF3"/>
    <w:rsid w:val="005A61E9"/>
    <w:rsid w:val="005A78A6"/>
    <w:rsid w:val="005B2B33"/>
    <w:rsid w:val="005B425C"/>
    <w:rsid w:val="005B57F0"/>
    <w:rsid w:val="005B67ED"/>
    <w:rsid w:val="005B7829"/>
    <w:rsid w:val="005C45F1"/>
    <w:rsid w:val="005C4CC9"/>
    <w:rsid w:val="005D3F14"/>
    <w:rsid w:val="005D57CB"/>
    <w:rsid w:val="005D58B5"/>
    <w:rsid w:val="005E02F8"/>
    <w:rsid w:val="005E22AB"/>
    <w:rsid w:val="005E2784"/>
    <w:rsid w:val="005E3030"/>
    <w:rsid w:val="005E3D2E"/>
    <w:rsid w:val="005E7DA8"/>
    <w:rsid w:val="005F5187"/>
    <w:rsid w:val="005F6173"/>
    <w:rsid w:val="005F6204"/>
    <w:rsid w:val="005F6368"/>
    <w:rsid w:val="0060166D"/>
    <w:rsid w:val="006017EA"/>
    <w:rsid w:val="006026BB"/>
    <w:rsid w:val="006035B2"/>
    <w:rsid w:val="0060369E"/>
    <w:rsid w:val="00604531"/>
    <w:rsid w:val="006058B8"/>
    <w:rsid w:val="00605D48"/>
    <w:rsid w:val="00607F94"/>
    <w:rsid w:val="006115AA"/>
    <w:rsid w:val="00614775"/>
    <w:rsid w:val="006168DE"/>
    <w:rsid w:val="00621538"/>
    <w:rsid w:val="0062353E"/>
    <w:rsid w:val="0062516F"/>
    <w:rsid w:val="00625F05"/>
    <w:rsid w:val="006261B0"/>
    <w:rsid w:val="00631677"/>
    <w:rsid w:val="00631A8F"/>
    <w:rsid w:val="00634917"/>
    <w:rsid w:val="00635411"/>
    <w:rsid w:val="00636B8D"/>
    <w:rsid w:val="006404E1"/>
    <w:rsid w:val="00642426"/>
    <w:rsid w:val="0064318C"/>
    <w:rsid w:val="00645BD7"/>
    <w:rsid w:val="00650338"/>
    <w:rsid w:val="00650CE1"/>
    <w:rsid w:val="00651A54"/>
    <w:rsid w:val="006522C0"/>
    <w:rsid w:val="00654BDB"/>
    <w:rsid w:val="00654C27"/>
    <w:rsid w:val="006579BE"/>
    <w:rsid w:val="0066163F"/>
    <w:rsid w:val="00661684"/>
    <w:rsid w:val="00662545"/>
    <w:rsid w:val="00664A0A"/>
    <w:rsid w:val="00667657"/>
    <w:rsid w:val="00671358"/>
    <w:rsid w:val="006725FF"/>
    <w:rsid w:val="006728F4"/>
    <w:rsid w:val="00677DD2"/>
    <w:rsid w:val="00681371"/>
    <w:rsid w:val="0068177D"/>
    <w:rsid w:val="00682F19"/>
    <w:rsid w:val="00685094"/>
    <w:rsid w:val="00690743"/>
    <w:rsid w:val="00693755"/>
    <w:rsid w:val="00693D87"/>
    <w:rsid w:val="00694866"/>
    <w:rsid w:val="00695DBF"/>
    <w:rsid w:val="0069711C"/>
    <w:rsid w:val="00697C69"/>
    <w:rsid w:val="006A0900"/>
    <w:rsid w:val="006A0CB9"/>
    <w:rsid w:val="006A19E6"/>
    <w:rsid w:val="006A38A3"/>
    <w:rsid w:val="006B136A"/>
    <w:rsid w:val="006B1876"/>
    <w:rsid w:val="006B24A3"/>
    <w:rsid w:val="006B60B8"/>
    <w:rsid w:val="006B711E"/>
    <w:rsid w:val="006C1A9F"/>
    <w:rsid w:val="006C2825"/>
    <w:rsid w:val="006C75C3"/>
    <w:rsid w:val="006D02DE"/>
    <w:rsid w:val="006D0453"/>
    <w:rsid w:val="006D0649"/>
    <w:rsid w:val="006D0A7E"/>
    <w:rsid w:val="006D23C3"/>
    <w:rsid w:val="006D40D7"/>
    <w:rsid w:val="006D70B4"/>
    <w:rsid w:val="006E1734"/>
    <w:rsid w:val="006E219F"/>
    <w:rsid w:val="006E2896"/>
    <w:rsid w:val="006E3464"/>
    <w:rsid w:val="006E5861"/>
    <w:rsid w:val="006E65AD"/>
    <w:rsid w:val="006E764E"/>
    <w:rsid w:val="006E7920"/>
    <w:rsid w:val="006E7C73"/>
    <w:rsid w:val="006F1629"/>
    <w:rsid w:val="006F312C"/>
    <w:rsid w:val="006F7136"/>
    <w:rsid w:val="007004B5"/>
    <w:rsid w:val="0070220B"/>
    <w:rsid w:val="00706614"/>
    <w:rsid w:val="00706D8F"/>
    <w:rsid w:val="00711CE7"/>
    <w:rsid w:val="00717086"/>
    <w:rsid w:val="00720B2A"/>
    <w:rsid w:val="00721FC5"/>
    <w:rsid w:val="00722710"/>
    <w:rsid w:val="00723DFC"/>
    <w:rsid w:val="007266D8"/>
    <w:rsid w:val="00732671"/>
    <w:rsid w:val="0073508F"/>
    <w:rsid w:val="007377E6"/>
    <w:rsid w:val="007404AE"/>
    <w:rsid w:val="007432B3"/>
    <w:rsid w:val="007433EA"/>
    <w:rsid w:val="00747B3A"/>
    <w:rsid w:val="00747CD0"/>
    <w:rsid w:val="007516E5"/>
    <w:rsid w:val="00753402"/>
    <w:rsid w:val="0075656B"/>
    <w:rsid w:val="00756CC2"/>
    <w:rsid w:val="00757832"/>
    <w:rsid w:val="00761A1B"/>
    <w:rsid w:val="00764507"/>
    <w:rsid w:val="00766735"/>
    <w:rsid w:val="00766760"/>
    <w:rsid w:val="00771946"/>
    <w:rsid w:val="00773223"/>
    <w:rsid w:val="0077422D"/>
    <w:rsid w:val="00775894"/>
    <w:rsid w:val="00780EA0"/>
    <w:rsid w:val="00781477"/>
    <w:rsid w:val="00781C50"/>
    <w:rsid w:val="007823FB"/>
    <w:rsid w:val="00782DBE"/>
    <w:rsid w:val="0078338C"/>
    <w:rsid w:val="00783907"/>
    <w:rsid w:val="00783ACC"/>
    <w:rsid w:val="007946E2"/>
    <w:rsid w:val="00794752"/>
    <w:rsid w:val="0079580E"/>
    <w:rsid w:val="00797556"/>
    <w:rsid w:val="007A56A2"/>
    <w:rsid w:val="007A77D2"/>
    <w:rsid w:val="007A7D40"/>
    <w:rsid w:val="007A7E5C"/>
    <w:rsid w:val="007A7FE2"/>
    <w:rsid w:val="007B0839"/>
    <w:rsid w:val="007B287B"/>
    <w:rsid w:val="007B43E9"/>
    <w:rsid w:val="007B493B"/>
    <w:rsid w:val="007B64E9"/>
    <w:rsid w:val="007C0233"/>
    <w:rsid w:val="007C1979"/>
    <w:rsid w:val="007C2053"/>
    <w:rsid w:val="007C4D3F"/>
    <w:rsid w:val="007C7CCD"/>
    <w:rsid w:val="007D0491"/>
    <w:rsid w:val="007D229E"/>
    <w:rsid w:val="007D2F9B"/>
    <w:rsid w:val="007D32A9"/>
    <w:rsid w:val="007D416E"/>
    <w:rsid w:val="007D58F6"/>
    <w:rsid w:val="007E2C9A"/>
    <w:rsid w:val="007E4BA2"/>
    <w:rsid w:val="007E6624"/>
    <w:rsid w:val="007F0131"/>
    <w:rsid w:val="007F05A7"/>
    <w:rsid w:val="007F0852"/>
    <w:rsid w:val="007F3E6F"/>
    <w:rsid w:val="007F7D1F"/>
    <w:rsid w:val="00802CB6"/>
    <w:rsid w:val="00802E57"/>
    <w:rsid w:val="00803207"/>
    <w:rsid w:val="00805F06"/>
    <w:rsid w:val="00806534"/>
    <w:rsid w:val="0080710A"/>
    <w:rsid w:val="008101CF"/>
    <w:rsid w:val="00810269"/>
    <w:rsid w:val="00810415"/>
    <w:rsid w:val="00812A61"/>
    <w:rsid w:val="00812DDA"/>
    <w:rsid w:val="00816250"/>
    <w:rsid w:val="00816417"/>
    <w:rsid w:val="00822105"/>
    <w:rsid w:val="00823299"/>
    <w:rsid w:val="008322F1"/>
    <w:rsid w:val="00834161"/>
    <w:rsid w:val="00835195"/>
    <w:rsid w:val="00840D97"/>
    <w:rsid w:val="00847145"/>
    <w:rsid w:val="00847167"/>
    <w:rsid w:val="0085416F"/>
    <w:rsid w:val="00854194"/>
    <w:rsid w:val="008562BE"/>
    <w:rsid w:val="0086190C"/>
    <w:rsid w:val="00864D10"/>
    <w:rsid w:val="00867822"/>
    <w:rsid w:val="00872D63"/>
    <w:rsid w:val="00875B33"/>
    <w:rsid w:val="00876471"/>
    <w:rsid w:val="008813CE"/>
    <w:rsid w:val="00884964"/>
    <w:rsid w:val="00885E8C"/>
    <w:rsid w:val="00885F3B"/>
    <w:rsid w:val="00890CF6"/>
    <w:rsid w:val="008950D7"/>
    <w:rsid w:val="0089547C"/>
    <w:rsid w:val="00897231"/>
    <w:rsid w:val="008A0918"/>
    <w:rsid w:val="008A3BB2"/>
    <w:rsid w:val="008A5709"/>
    <w:rsid w:val="008A5BC4"/>
    <w:rsid w:val="008B048B"/>
    <w:rsid w:val="008B05B2"/>
    <w:rsid w:val="008B30BB"/>
    <w:rsid w:val="008B3194"/>
    <w:rsid w:val="008B3B1B"/>
    <w:rsid w:val="008B68AE"/>
    <w:rsid w:val="008C2976"/>
    <w:rsid w:val="008C5490"/>
    <w:rsid w:val="008C5FB9"/>
    <w:rsid w:val="008D049F"/>
    <w:rsid w:val="008D090D"/>
    <w:rsid w:val="008D112C"/>
    <w:rsid w:val="008D664B"/>
    <w:rsid w:val="008E01E6"/>
    <w:rsid w:val="008E2374"/>
    <w:rsid w:val="008E444A"/>
    <w:rsid w:val="008F083E"/>
    <w:rsid w:val="008F0C6F"/>
    <w:rsid w:val="008F2AE1"/>
    <w:rsid w:val="008F3BB6"/>
    <w:rsid w:val="008F49DE"/>
    <w:rsid w:val="008F550C"/>
    <w:rsid w:val="00900C13"/>
    <w:rsid w:val="009010DA"/>
    <w:rsid w:val="00902781"/>
    <w:rsid w:val="009029BB"/>
    <w:rsid w:val="009039EE"/>
    <w:rsid w:val="009050FD"/>
    <w:rsid w:val="00907ADF"/>
    <w:rsid w:val="009118BF"/>
    <w:rsid w:val="00915CE0"/>
    <w:rsid w:val="00916DE4"/>
    <w:rsid w:val="00916F86"/>
    <w:rsid w:val="0092227C"/>
    <w:rsid w:val="00923B78"/>
    <w:rsid w:val="00924381"/>
    <w:rsid w:val="00925498"/>
    <w:rsid w:val="00930728"/>
    <w:rsid w:val="00931BC2"/>
    <w:rsid w:val="00933093"/>
    <w:rsid w:val="00935369"/>
    <w:rsid w:val="00935652"/>
    <w:rsid w:val="00950190"/>
    <w:rsid w:val="00952EF7"/>
    <w:rsid w:val="00954D27"/>
    <w:rsid w:val="00955889"/>
    <w:rsid w:val="00957788"/>
    <w:rsid w:val="00960668"/>
    <w:rsid w:val="00960F99"/>
    <w:rsid w:val="00962C9F"/>
    <w:rsid w:val="0096472B"/>
    <w:rsid w:val="009664E3"/>
    <w:rsid w:val="0097147F"/>
    <w:rsid w:val="009714A3"/>
    <w:rsid w:val="00972312"/>
    <w:rsid w:val="00973BCF"/>
    <w:rsid w:val="00973CF8"/>
    <w:rsid w:val="00973D4E"/>
    <w:rsid w:val="00974F4B"/>
    <w:rsid w:val="009753E9"/>
    <w:rsid w:val="00975A2F"/>
    <w:rsid w:val="00975EA8"/>
    <w:rsid w:val="009770AC"/>
    <w:rsid w:val="0098066C"/>
    <w:rsid w:val="009811A7"/>
    <w:rsid w:val="00981C20"/>
    <w:rsid w:val="00981E0D"/>
    <w:rsid w:val="00983688"/>
    <w:rsid w:val="00985B17"/>
    <w:rsid w:val="00985EDB"/>
    <w:rsid w:val="00987D64"/>
    <w:rsid w:val="00992D9C"/>
    <w:rsid w:val="0099337D"/>
    <w:rsid w:val="0099572F"/>
    <w:rsid w:val="00995E4A"/>
    <w:rsid w:val="009A08CB"/>
    <w:rsid w:val="009A1D32"/>
    <w:rsid w:val="009A28ED"/>
    <w:rsid w:val="009A3F49"/>
    <w:rsid w:val="009A4402"/>
    <w:rsid w:val="009A7685"/>
    <w:rsid w:val="009B5840"/>
    <w:rsid w:val="009B5A29"/>
    <w:rsid w:val="009B66A6"/>
    <w:rsid w:val="009B7185"/>
    <w:rsid w:val="009C71AC"/>
    <w:rsid w:val="009D108D"/>
    <w:rsid w:val="009D12AB"/>
    <w:rsid w:val="009D27F2"/>
    <w:rsid w:val="009D5262"/>
    <w:rsid w:val="009D753D"/>
    <w:rsid w:val="009E33AC"/>
    <w:rsid w:val="009E7450"/>
    <w:rsid w:val="009F5306"/>
    <w:rsid w:val="009F5C28"/>
    <w:rsid w:val="009F6D51"/>
    <w:rsid w:val="00A00D92"/>
    <w:rsid w:val="00A01AA8"/>
    <w:rsid w:val="00A020C4"/>
    <w:rsid w:val="00A034C5"/>
    <w:rsid w:val="00A03809"/>
    <w:rsid w:val="00A0483B"/>
    <w:rsid w:val="00A05B2D"/>
    <w:rsid w:val="00A05E79"/>
    <w:rsid w:val="00A119E0"/>
    <w:rsid w:val="00A1201F"/>
    <w:rsid w:val="00A25291"/>
    <w:rsid w:val="00A2596D"/>
    <w:rsid w:val="00A263E9"/>
    <w:rsid w:val="00A31D81"/>
    <w:rsid w:val="00A32F1F"/>
    <w:rsid w:val="00A32FA7"/>
    <w:rsid w:val="00A3581F"/>
    <w:rsid w:val="00A41E07"/>
    <w:rsid w:val="00A42B92"/>
    <w:rsid w:val="00A439BC"/>
    <w:rsid w:val="00A43A10"/>
    <w:rsid w:val="00A47905"/>
    <w:rsid w:val="00A557C8"/>
    <w:rsid w:val="00A60228"/>
    <w:rsid w:val="00A6104F"/>
    <w:rsid w:val="00A61DD5"/>
    <w:rsid w:val="00A64A1F"/>
    <w:rsid w:val="00A67D60"/>
    <w:rsid w:val="00A728EA"/>
    <w:rsid w:val="00A73BA4"/>
    <w:rsid w:val="00A753F3"/>
    <w:rsid w:val="00A81D4A"/>
    <w:rsid w:val="00A8530D"/>
    <w:rsid w:val="00A858AD"/>
    <w:rsid w:val="00A92988"/>
    <w:rsid w:val="00A92FCA"/>
    <w:rsid w:val="00AA37EF"/>
    <w:rsid w:val="00AA67BE"/>
    <w:rsid w:val="00AB2F98"/>
    <w:rsid w:val="00AB6C0D"/>
    <w:rsid w:val="00AC29FD"/>
    <w:rsid w:val="00AC35AC"/>
    <w:rsid w:val="00AC560E"/>
    <w:rsid w:val="00AC6666"/>
    <w:rsid w:val="00AC67FB"/>
    <w:rsid w:val="00AC7D7B"/>
    <w:rsid w:val="00AD0E3B"/>
    <w:rsid w:val="00AD580D"/>
    <w:rsid w:val="00AD7B5F"/>
    <w:rsid w:val="00AE277B"/>
    <w:rsid w:val="00AE4D71"/>
    <w:rsid w:val="00AE7B6E"/>
    <w:rsid w:val="00AF069C"/>
    <w:rsid w:val="00AF1885"/>
    <w:rsid w:val="00AF18A1"/>
    <w:rsid w:val="00AF5319"/>
    <w:rsid w:val="00B04A61"/>
    <w:rsid w:val="00B07388"/>
    <w:rsid w:val="00B1196D"/>
    <w:rsid w:val="00B127FE"/>
    <w:rsid w:val="00B15CED"/>
    <w:rsid w:val="00B1669B"/>
    <w:rsid w:val="00B16F4A"/>
    <w:rsid w:val="00B171BD"/>
    <w:rsid w:val="00B17617"/>
    <w:rsid w:val="00B21453"/>
    <w:rsid w:val="00B2248D"/>
    <w:rsid w:val="00B248EE"/>
    <w:rsid w:val="00B2500F"/>
    <w:rsid w:val="00B25549"/>
    <w:rsid w:val="00B267F9"/>
    <w:rsid w:val="00B26C88"/>
    <w:rsid w:val="00B3511C"/>
    <w:rsid w:val="00B35155"/>
    <w:rsid w:val="00B369B8"/>
    <w:rsid w:val="00B40617"/>
    <w:rsid w:val="00B4464F"/>
    <w:rsid w:val="00B45BC5"/>
    <w:rsid w:val="00B470B8"/>
    <w:rsid w:val="00B52C7C"/>
    <w:rsid w:val="00B5575E"/>
    <w:rsid w:val="00B62A14"/>
    <w:rsid w:val="00B63247"/>
    <w:rsid w:val="00B74308"/>
    <w:rsid w:val="00B7595D"/>
    <w:rsid w:val="00B8452F"/>
    <w:rsid w:val="00B85F67"/>
    <w:rsid w:val="00B94B4D"/>
    <w:rsid w:val="00B9536A"/>
    <w:rsid w:val="00BA07F2"/>
    <w:rsid w:val="00BA179D"/>
    <w:rsid w:val="00BA2FC6"/>
    <w:rsid w:val="00BA3898"/>
    <w:rsid w:val="00BA4FED"/>
    <w:rsid w:val="00BA6A3B"/>
    <w:rsid w:val="00BA77DF"/>
    <w:rsid w:val="00BB0224"/>
    <w:rsid w:val="00BB0DDC"/>
    <w:rsid w:val="00BB4A1E"/>
    <w:rsid w:val="00BB50F8"/>
    <w:rsid w:val="00BB5E73"/>
    <w:rsid w:val="00BB652D"/>
    <w:rsid w:val="00BB7842"/>
    <w:rsid w:val="00BC2C3C"/>
    <w:rsid w:val="00BC2D33"/>
    <w:rsid w:val="00BC63A3"/>
    <w:rsid w:val="00BC794B"/>
    <w:rsid w:val="00BD3B13"/>
    <w:rsid w:val="00BD3D57"/>
    <w:rsid w:val="00BD4103"/>
    <w:rsid w:val="00BD5138"/>
    <w:rsid w:val="00BD74E5"/>
    <w:rsid w:val="00BE1E36"/>
    <w:rsid w:val="00BE3B50"/>
    <w:rsid w:val="00BE53B9"/>
    <w:rsid w:val="00BF27C0"/>
    <w:rsid w:val="00BF3653"/>
    <w:rsid w:val="00BF6B9B"/>
    <w:rsid w:val="00BF6BE3"/>
    <w:rsid w:val="00BF6E6B"/>
    <w:rsid w:val="00C0115E"/>
    <w:rsid w:val="00C030E4"/>
    <w:rsid w:val="00C051DD"/>
    <w:rsid w:val="00C06189"/>
    <w:rsid w:val="00C063A6"/>
    <w:rsid w:val="00C06C22"/>
    <w:rsid w:val="00C10563"/>
    <w:rsid w:val="00C120D9"/>
    <w:rsid w:val="00C127E9"/>
    <w:rsid w:val="00C13BB7"/>
    <w:rsid w:val="00C17946"/>
    <w:rsid w:val="00C20A34"/>
    <w:rsid w:val="00C210F3"/>
    <w:rsid w:val="00C21E33"/>
    <w:rsid w:val="00C22893"/>
    <w:rsid w:val="00C23C34"/>
    <w:rsid w:val="00C2497C"/>
    <w:rsid w:val="00C2500A"/>
    <w:rsid w:val="00C25573"/>
    <w:rsid w:val="00C25886"/>
    <w:rsid w:val="00C27410"/>
    <w:rsid w:val="00C34C0C"/>
    <w:rsid w:val="00C4135E"/>
    <w:rsid w:val="00C44D87"/>
    <w:rsid w:val="00C45642"/>
    <w:rsid w:val="00C50046"/>
    <w:rsid w:val="00C551FE"/>
    <w:rsid w:val="00C57473"/>
    <w:rsid w:val="00C6066A"/>
    <w:rsid w:val="00C61C4D"/>
    <w:rsid w:val="00C67FFA"/>
    <w:rsid w:val="00C72229"/>
    <w:rsid w:val="00C741EE"/>
    <w:rsid w:val="00C750B3"/>
    <w:rsid w:val="00C75AB6"/>
    <w:rsid w:val="00C75CC7"/>
    <w:rsid w:val="00C813F6"/>
    <w:rsid w:val="00C94371"/>
    <w:rsid w:val="00C95D47"/>
    <w:rsid w:val="00C96AE4"/>
    <w:rsid w:val="00C978C7"/>
    <w:rsid w:val="00CA0B23"/>
    <w:rsid w:val="00CA15BF"/>
    <w:rsid w:val="00CA16E5"/>
    <w:rsid w:val="00CA1EDE"/>
    <w:rsid w:val="00CA371B"/>
    <w:rsid w:val="00CA7FCF"/>
    <w:rsid w:val="00CB2CE5"/>
    <w:rsid w:val="00CB4B27"/>
    <w:rsid w:val="00CB60F5"/>
    <w:rsid w:val="00CB6456"/>
    <w:rsid w:val="00CB6CDC"/>
    <w:rsid w:val="00CC1694"/>
    <w:rsid w:val="00CC50B5"/>
    <w:rsid w:val="00CD0209"/>
    <w:rsid w:val="00CD0855"/>
    <w:rsid w:val="00CD7153"/>
    <w:rsid w:val="00CE4295"/>
    <w:rsid w:val="00CE48BD"/>
    <w:rsid w:val="00CF280B"/>
    <w:rsid w:val="00CF410F"/>
    <w:rsid w:val="00CF6BD2"/>
    <w:rsid w:val="00CF6F88"/>
    <w:rsid w:val="00CF74D4"/>
    <w:rsid w:val="00CF7B79"/>
    <w:rsid w:val="00D001A4"/>
    <w:rsid w:val="00D00758"/>
    <w:rsid w:val="00D039C5"/>
    <w:rsid w:val="00D06400"/>
    <w:rsid w:val="00D100AF"/>
    <w:rsid w:val="00D106EE"/>
    <w:rsid w:val="00D12444"/>
    <w:rsid w:val="00D12E50"/>
    <w:rsid w:val="00D134A8"/>
    <w:rsid w:val="00D145E5"/>
    <w:rsid w:val="00D16DC7"/>
    <w:rsid w:val="00D203B8"/>
    <w:rsid w:val="00D27318"/>
    <w:rsid w:val="00D27A8F"/>
    <w:rsid w:val="00D3114F"/>
    <w:rsid w:val="00D33E1A"/>
    <w:rsid w:val="00D33EB9"/>
    <w:rsid w:val="00D35E05"/>
    <w:rsid w:val="00D44DD0"/>
    <w:rsid w:val="00D456BD"/>
    <w:rsid w:val="00D46E80"/>
    <w:rsid w:val="00D529F8"/>
    <w:rsid w:val="00D554CA"/>
    <w:rsid w:val="00D567DA"/>
    <w:rsid w:val="00D60167"/>
    <w:rsid w:val="00D60884"/>
    <w:rsid w:val="00D6169E"/>
    <w:rsid w:val="00D630D0"/>
    <w:rsid w:val="00D65FF8"/>
    <w:rsid w:val="00D66AD3"/>
    <w:rsid w:val="00D72E83"/>
    <w:rsid w:val="00D77FD8"/>
    <w:rsid w:val="00D8167E"/>
    <w:rsid w:val="00D81C9A"/>
    <w:rsid w:val="00D81E1C"/>
    <w:rsid w:val="00D82BFD"/>
    <w:rsid w:val="00D952EC"/>
    <w:rsid w:val="00DA0969"/>
    <w:rsid w:val="00DA48C6"/>
    <w:rsid w:val="00DA5B27"/>
    <w:rsid w:val="00DA6D77"/>
    <w:rsid w:val="00DB0069"/>
    <w:rsid w:val="00DB1661"/>
    <w:rsid w:val="00DB23EC"/>
    <w:rsid w:val="00DB31DD"/>
    <w:rsid w:val="00DB3865"/>
    <w:rsid w:val="00DB554B"/>
    <w:rsid w:val="00DB6FDA"/>
    <w:rsid w:val="00DB74B2"/>
    <w:rsid w:val="00DC2015"/>
    <w:rsid w:val="00DC27B3"/>
    <w:rsid w:val="00DC55C8"/>
    <w:rsid w:val="00DC5B00"/>
    <w:rsid w:val="00DC5B2F"/>
    <w:rsid w:val="00DD0242"/>
    <w:rsid w:val="00DD0A29"/>
    <w:rsid w:val="00DD43E9"/>
    <w:rsid w:val="00DD537E"/>
    <w:rsid w:val="00DD5743"/>
    <w:rsid w:val="00DD62A2"/>
    <w:rsid w:val="00DE0A7E"/>
    <w:rsid w:val="00DE4EE0"/>
    <w:rsid w:val="00DE6277"/>
    <w:rsid w:val="00DF06E0"/>
    <w:rsid w:val="00DF60CB"/>
    <w:rsid w:val="00E0056A"/>
    <w:rsid w:val="00E009D6"/>
    <w:rsid w:val="00E01D16"/>
    <w:rsid w:val="00E04445"/>
    <w:rsid w:val="00E05C38"/>
    <w:rsid w:val="00E07C1C"/>
    <w:rsid w:val="00E10083"/>
    <w:rsid w:val="00E11D62"/>
    <w:rsid w:val="00E137DC"/>
    <w:rsid w:val="00E146BF"/>
    <w:rsid w:val="00E15929"/>
    <w:rsid w:val="00E17CC8"/>
    <w:rsid w:val="00E256F1"/>
    <w:rsid w:val="00E3602F"/>
    <w:rsid w:val="00E40A2B"/>
    <w:rsid w:val="00E40E57"/>
    <w:rsid w:val="00E41F54"/>
    <w:rsid w:val="00E45284"/>
    <w:rsid w:val="00E46050"/>
    <w:rsid w:val="00E506D3"/>
    <w:rsid w:val="00E5224F"/>
    <w:rsid w:val="00E52860"/>
    <w:rsid w:val="00E533B6"/>
    <w:rsid w:val="00E5382A"/>
    <w:rsid w:val="00E612D1"/>
    <w:rsid w:val="00E62DFF"/>
    <w:rsid w:val="00E74146"/>
    <w:rsid w:val="00E75880"/>
    <w:rsid w:val="00E812CA"/>
    <w:rsid w:val="00E82C90"/>
    <w:rsid w:val="00E8439C"/>
    <w:rsid w:val="00E849AA"/>
    <w:rsid w:val="00E85DBC"/>
    <w:rsid w:val="00E85F36"/>
    <w:rsid w:val="00E864A0"/>
    <w:rsid w:val="00E86A25"/>
    <w:rsid w:val="00E90300"/>
    <w:rsid w:val="00E90C39"/>
    <w:rsid w:val="00E91614"/>
    <w:rsid w:val="00E97021"/>
    <w:rsid w:val="00EA03EC"/>
    <w:rsid w:val="00EA0A3B"/>
    <w:rsid w:val="00EA2413"/>
    <w:rsid w:val="00EA26DB"/>
    <w:rsid w:val="00EA2B20"/>
    <w:rsid w:val="00EA54F0"/>
    <w:rsid w:val="00EA5B40"/>
    <w:rsid w:val="00EB1C7A"/>
    <w:rsid w:val="00EB22C9"/>
    <w:rsid w:val="00EB3A1A"/>
    <w:rsid w:val="00EB3BA2"/>
    <w:rsid w:val="00EB579D"/>
    <w:rsid w:val="00EB651D"/>
    <w:rsid w:val="00EB6E2E"/>
    <w:rsid w:val="00EC096C"/>
    <w:rsid w:val="00EC4847"/>
    <w:rsid w:val="00ED1CC1"/>
    <w:rsid w:val="00ED1FFF"/>
    <w:rsid w:val="00ED3652"/>
    <w:rsid w:val="00ED3E02"/>
    <w:rsid w:val="00ED50A6"/>
    <w:rsid w:val="00ED51FE"/>
    <w:rsid w:val="00ED52F8"/>
    <w:rsid w:val="00ED6DCC"/>
    <w:rsid w:val="00ED78F1"/>
    <w:rsid w:val="00EE2EB5"/>
    <w:rsid w:val="00EE3101"/>
    <w:rsid w:val="00EE3289"/>
    <w:rsid w:val="00EE32BA"/>
    <w:rsid w:val="00EE359D"/>
    <w:rsid w:val="00EE5475"/>
    <w:rsid w:val="00EE558C"/>
    <w:rsid w:val="00EE6A40"/>
    <w:rsid w:val="00EE6DF4"/>
    <w:rsid w:val="00EF06B9"/>
    <w:rsid w:val="00EF07EC"/>
    <w:rsid w:val="00EF1376"/>
    <w:rsid w:val="00EF1F0F"/>
    <w:rsid w:val="00EF2363"/>
    <w:rsid w:val="00EF3DE5"/>
    <w:rsid w:val="00EF661C"/>
    <w:rsid w:val="00EF7D0A"/>
    <w:rsid w:val="00F0138A"/>
    <w:rsid w:val="00F015FF"/>
    <w:rsid w:val="00F01C87"/>
    <w:rsid w:val="00F05F79"/>
    <w:rsid w:val="00F06B38"/>
    <w:rsid w:val="00F06BFE"/>
    <w:rsid w:val="00F06D5A"/>
    <w:rsid w:val="00F1157A"/>
    <w:rsid w:val="00F123DB"/>
    <w:rsid w:val="00F124BC"/>
    <w:rsid w:val="00F126F1"/>
    <w:rsid w:val="00F14ABC"/>
    <w:rsid w:val="00F16487"/>
    <w:rsid w:val="00F167BA"/>
    <w:rsid w:val="00F24497"/>
    <w:rsid w:val="00F2752D"/>
    <w:rsid w:val="00F31F4B"/>
    <w:rsid w:val="00F33E72"/>
    <w:rsid w:val="00F3400E"/>
    <w:rsid w:val="00F40856"/>
    <w:rsid w:val="00F422C6"/>
    <w:rsid w:val="00F523CC"/>
    <w:rsid w:val="00F52A18"/>
    <w:rsid w:val="00F52F0D"/>
    <w:rsid w:val="00F54102"/>
    <w:rsid w:val="00F54348"/>
    <w:rsid w:val="00F624F8"/>
    <w:rsid w:val="00F7078B"/>
    <w:rsid w:val="00F717B1"/>
    <w:rsid w:val="00F7415F"/>
    <w:rsid w:val="00F744AF"/>
    <w:rsid w:val="00F762A0"/>
    <w:rsid w:val="00F8042F"/>
    <w:rsid w:val="00F80AED"/>
    <w:rsid w:val="00F81006"/>
    <w:rsid w:val="00F83CCB"/>
    <w:rsid w:val="00F83E4D"/>
    <w:rsid w:val="00F918E1"/>
    <w:rsid w:val="00F92B9F"/>
    <w:rsid w:val="00F9479F"/>
    <w:rsid w:val="00F962F9"/>
    <w:rsid w:val="00F9639F"/>
    <w:rsid w:val="00F97C4C"/>
    <w:rsid w:val="00FA077E"/>
    <w:rsid w:val="00FA5169"/>
    <w:rsid w:val="00FB10A7"/>
    <w:rsid w:val="00FB3AEA"/>
    <w:rsid w:val="00FB3D32"/>
    <w:rsid w:val="00FC3EC5"/>
    <w:rsid w:val="00FC4B34"/>
    <w:rsid w:val="00FC593A"/>
    <w:rsid w:val="00FC7893"/>
    <w:rsid w:val="00FC7B2E"/>
    <w:rsid w:val="00FD22A7"/>
    <w:rsid w:val="00FD2B26"/>
    <w:rsid w:val="00FD56A6"/>
    <w:rsid w:val="00FD68EA"/>
    <w:rsid w:val="00FD75E3"/>
    <w:rsid w:val="00FE0050"/>
    <w:rsid w:val="00FE2B97"/>
    <w:rsid w:val="00FE3ADB"/>
    <w:rsid w:val="00FE3CDF"/>
    <w:rsid w:val="00FE4F55"/>
    <w:rsid w:val="00FE637B"/>
    <w:rsid w:val="00FF0848"/>
    <w:rsid w:val="00FF182D"/>
    <w:rsid w:val="00FF3D5C"/>
    <w:rsid w:val="00FF73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550FC"/>
  <w15:chartTrackingRefBased/>
  <w15:docId w15:val="{B40ABFEA-1564-49EB-82DB-8146776D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50B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CB6CDC"/>
    <w:rPr>
      <w:color w:val="808080"/>
    </w:rPr>
  </w:style>
  <w:style w:type="paragraph" w:styleId="a4">
    <w:name w:val="List Paragraph"/>
    <w:basedOn w:val="a"/>
    <w:uiPriority w:val="34"/>
    <w:qFormat/>
    <w:rsid w:val="006C75C3"/>
    <w:pPr>
      <w:ind w:left="720"/>
      <w:contextualSpacing/>
    </w:pPr>
  </w:style>
  <w:style w:type="paragraph" w:customStyle="1" w:styleId="Default">
    <w:name w:val="Default"/>
    <w:rsid w:val="006C75C3"/>
    <w:pPr>
      <w:autoSpaceDE w:val="0"/>
      <w:autoSpaceDN w:val="0"/>
      <w:adjustRightInd w:val="0"/>
      <w:spacing w:after="0" w:line="240" w:lineRule="auto"/>
    </w:pPr>
    <w:rPr>
      <w:rFonts w:ascii="Tahoma" w:hAnsi="Tahoma" w:cs="Tahoma"/>
      <w:color w:val="000000"/>
      <w:sz w:val="24"/>
      <w:szCs w:val="24"/>
    </w:rPr>
  </w:style>
  <w:style w:type="character" w:styleId="a5">
    <w:name w:val="annotation reference"/>
    <w:basedOn w:val="a0"/>
    <w:unhideWhenUsed/>
    <w:rsid w:val="00D33EB9"/>
    <w:rPr>
      <w:sz w:val="16"/>
      <w:szCs w:val="16"/>
    </w:rPr>
  </w:style>
  <w:style w:type="paragraph" w:styleId="a6">
    <w:name w:val="annotation text"/>
    <w:basedOn w:val="a"/>
    <w:link w:val="a7"/>
    <w:unhideWhenUsed/>
    <w:rsid w:val="00D33EB9"/>
    <w:pPr>
      <w:spacing w:line="240" w:lineRule="auto"/>
    </w:pPr>
    <w:rPr>
      <w:sz w:val="20"/>
      <w:szCs w:val="20"/>
    </w:rPr>
  </w:style>
  <w:style w:type="character" w:customStyle="1" w:styleId="a7">
    <w:name w:val="Текст примечания Знак"/>
    <w:basedOn w:val="a0"/>
    <w:link w:val="a6"/>
    <w:rsid w:val="00D33EB9"/>
    <w:rPr>
      <w:rFonts w:ascii="Calibri" w:eastAsia="Calibri" w:hAnsi="Calibri" w:cs="Times New Roman"/>
      <w:sz w:val="20"/>
      <w:szCs w:val="20"/>
    </w:rPr>
  </w:style>
  <w:style w:type="paragraph" w:styleId="a8">
    <w:name w:val="annotation subject"/>
    <w:basedOn w:val="a6"/>
    <w:next w:val="a6"/>
    <w:link w:val="a9"/>
    <w:uiPriority w:val="99"/>
    <w:semiHidden/>
    <w:unhideWhenUsed/>
    <w:rsid w:val="00D33EB9"/>
    <w:rPr>
      <w:b/>
      <w:bCs/>
    </w:rPr>
  </w:style>
  <w:style w:type="character" w:customStyle="1" w:styleId="a9">
    <w:name w:val="Тема примечания Знак"/>
    <w:basedOn w:val="a7"/>
    <w:link w:val="a8"/>
    <w:uiPriority w:val="99"/>
    <w:semiHidden/>
    <w:rsid w:val="00D33EB9"/>
    <w:rPr>
      <w:rFonts w:ascii="Calibri" w:eastAsia="Calibri" w:hAnsi="Calibri" w:cs="Times New Roman"/>
      <w:b/>
      <w:bCs/>
      <w:sz w:val="20"/>
      <w:szCs w:val="20"/>
    </w:rPr>
  </w:style>
  <w:style w:type="paragraph" w:styleId="aa">
    <w:name w:val="Balloon Text"/>
    <w:basedOn w:val="a"/>
    <w:link w:val="ab"/>
    <w:uiPriority w:val="99"/>
    <w:semiHidden/>
    <w:unhideWhenUsed/>
    <w:rsid w:val="00D33EB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33EB9"/>
    <w:rPr>
      <w:rFonts w:ascii="Segoe UI" w:eastAsia="Calibri" w:hAnsi="Segoe UI" w:cs="Segoe UI"/>
      <w:sz w:val="18"/>
      <w:szCs w:val="18"/>
    </w:rPr>
  </w:style>
  <w:style w:type="paragraph" w:styleId="ac">
    <w:name w:val="header"/>
    <w:basedOn w:val="a"/>
    <w:link w:val="ad"/>
    <w:uiPriority w:val="99"/>
    <w:unhideWhenUsed/>
    <w:rsid w:val="00BA389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BA3898"/>
    <w:rPr>
      <w:rFonts w:ascii="Calibri" w:eastAsia="Calibri" w:hAnsi="Calibri" w:cs="Times New Roman"/>
    </w:rPr>
  </w:style>
  <w:style w:type="paragraph" w:styleId="ae">
    <w:name w:val="footer"/>
    <w:basedOn w:val="a"/>
    <w:link w:val="af"/>
    <w:uiPriority w:val="99"/>
    <w:unhideWhenUsed/>
    <w:rsid w:val="00BA389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A3898"/>
    <w:rPr>
      <w:rFonts w:ascii="Calibri" w:eastAsia="Calibri" w:hAnsi="Calibri" w:cs="Times New Roman"/>
    </w:rPr>
  </w:style>
  <w:style w:type="paragraph" w:styleId="af0">
    <w:name w:val="footnote text"/>
    <w:basedOn w:val="a"/>
    <w:link w:val="af1"/>
    <w:uiPriority w:val="99"/>
    <w:semiHidden/>
    <w:unhideWhenUsed/>
    <w:rsid w:val="00C051DD"/>
    <w:pPr>
      <w:spacing w:after="0" w:line="240" w:lineRule="auto"/>
    </w:pPr>
    <w:rPr>
      <w:sz w:val="20"/>
      <w:szCs w:val="20"/>
    </w:rPr>
  </w:style>
  <w:style w:type="character" w:customStyle="1" w:styleId="af1">
    <w:name w:val="Текст сноски Знак"/>
    <w:basedOn w:val="a0"/>
    <w:link w:val="af0"/>
    <w:uiPriority w:val="99"/>
    <w:semiHidden/>
    <w:rsid w:val="00C051DD"/>
    <w:rPr>
      <w:rFonts w:ascii="Calibri" w:eastAsia="Calibri" w:hAnsi="Calibri" w:cs="Times New Roman"/>
      <w:sz w:val="20"/>
      <w:szCs w:val="20"/>
    </w:rPr>
  </w:style>
  <w:style w:type="character" w:styleId="af2">
    <w:name w:val="footnote reference"/>
    <w:basedOn w:val="a0"/>
    <w:uiPriority w:val="99"/>
    <w:semiHidden/>
    <w:unhideWhenUsed/>
    <w:rsid w:val="00C051DD"/>
    <w:rPr>
      <w:vertAlign w:val="superscript"/>
    </w:rPr>
  </w:style>
  <w:style w:type="paragraph" w:styleId="af3">
    <w:name w:val="endnote text"/>
    <w:basedOn w:val="a"/>
    <w:link w:val="af4"/>
    <w:uiPriority w:val="99"/>
    <w:semiHidden/>
    <w:unhideWhenUsed/>
    <w:rsid w:val="00C051DD"/>
    <w:pPr>
      <w:spacing w:after="0" w:line="240" w:lineRule="auto"/>
    </w:pPr>
    <w:rPr>
      <w:sz w:val="20"/>
      <w:szCs w:val="20"/>
    </w:rPr>
  </w:style>
  <w:style w:type="character" w:customStyle="1" w:styleId="af4">
    <w:name w:val="Текст концевой сноски Знак"/>
    <w:basedOn w:val="a0"/>
    <w:link w:val="af3"/>
    <w:uiPriority w:val="99"/>
    <w:semiHidden/>
    <w:rsid w:val="00C051DD"/>
    <w:rPr>
      <w:rFonts w:ascii="Calibri" w:eastAsia="Calibri" w:hAnsi="Calibri" w:cs="Times New Roman"/>
      <w:sz w:val="20"/>
      <w:szCs w:val="20"/>
    </w:rPr>
  </w:style>
  <w:style w:type="character" w:styleId="af5">
    <w:name w:val="endnote reference"/>
    <w:basedOn w:val="a0"/>
    <w:uiPriority w:val="99"/>
    <w:semiHidden/>
    <w:unhideWhenUsed/>
    <w:rsid w:val="00C051DD"/>
    <w:rPr>
      <w:vertAlign w:val="superscript"/>
    </w:rPr>
  </w:style>
  <w:style w:type="table" w:styleId="af6">
    <w:name w:val="Table Grid"/>
    <w:basedOn w:val="a1"/>
    <w:uiPriority w:val="39"/>
    <w:rsid w:val="00240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E09CC"/>
    <w:pPr>
      <w:spacing w:after="0" w:line="240" w:lineRule="auto"/>
    </w:pPr>
    <w:rPr>
      <w:rFonts w:ascii="Calibri" w:eastAsia="Calibri" w:hAnsi="Calibri" w:cs="Times New Roman"/>
    </w:rPr>
  </w:style>
  <w:style w:type="character" w:styleId="af8">
    <w:name w:val="Hyperlink"/>
    <w:basedOn w:val="a0"/>
    <w:uiPriority w:val="99"/>
    <w:unhideWhenUsed/>
    <w:rsid w:val="00BF6B9B"/>
    <w:rPr>
      <w:color w:val="0563C1" w:themeColor="hyperlink"/>
      <w:u w:val="single"/>
    </w:rPr>
  </w:style>
  <w:style w:type="character" w:styleId="af9">
    <w:name w:val="Unresolved Mention"/>
    <w:basedOn w:val="a0"/>
    <w:uiPriority w:val="99"/>
    <w:semiHidden/>
    <w:unhideWhenUsed/>
    <w:rsid w:val="003A0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142404">
      <w:bodyDiv w:val="1"/>
      <w:marLeft w:val="0"/>
      <w:marRight w:val="0"/>
      <w:marTop w:val="0"/>
      <w:marBottom w:val="0"/>
      <w:divBdr>
        <w:top w:val="none" w:sz="0" w:space="0" w:color="auto"/>
        <w:left w:val="none" w:sz="0" w:space="0" w:color="auto"/>
        <w:bottom w:val="none" w:sz="0" w:space="0" w:color="auto"/>
        <w:right w:val="none" w:sz="0" w:space="0" w:color="auto"/>
      </w:divBdr>
    </w:div>
    <w:div w:id="537741646">
      <w:bodyDiv w:val="1"/>
      <w:marLeft w:val="0"/>
      <w:marRight w:val="0"/>
      <w:marTop w:val="0"/>
      <w:marBottom w:val="0"/>
      <w:divBdr>
        <w:top w:val="none" w:sz="0" w:space="0" w:color="auto"/>
        <w:left w:val="none" w:sz="0" w:space="0" w:color="auto"/>
        <w:bottom w:val="none" w:sz="0" w:space="0" w:color="auto"/>
        <w:right w:val="none" w:sz="0" w:space="0" w:color="auto"/>
      </w:divBdr>
    </w:div>
    <w:div w:id="575944108">
      <w:bodyDiv w:val="1"/>
      <w:marLeft w:val="0"/>
      <w:marRight w:val="0"/>
      <w:marTop w:val="0"/>
      <w:marBottom w:val="0"/>
      <w:divBdr>
        <w:top w:val="none" w:sz="0" w:space="0" w:color="auto"/>
        <w:left w:val="none" w:sz="0" w:space="0" w:color="auto"/>
        <w:bottom w:val="none" w:sz="0" w:space="0" w:color="auto"/>
        <w:right w:val="none" w:sz="0" w:space="0" w:color="auto"/>
      </w:divBdr>
    </w:div>
    <w:div w:id="640228726">
      <w:bodyDiv w:val="1"/>
      <w:marLeft w:val="0"/>
      <w:marRight w:val="0"/>
      <w:marTop w:val="0"/>
      <w:marBottom w:val="0"/>
      <w:divBdr>
        <w:top w:val="none" w:sz="0" w:space="0" w:color="auto"/>
        <w:left w:val="none" w:sz="0" w:space="0" w:color="auto"/>
        <w:bottom w:val="none" w:sz="0" w:space="0" w:color="auto"/>
        <w:right w:val="none" w:sz="0" w:space="0" w:color="auto"/>
      </w:divBdr>
    </w:div>
    <w:div w:id="870806101">
      <w:bodyDiv w:val="1"/>
      <w:marLeft w:val="0"/>
      <w:marRight w:val="0"/>
      <w:marTop w:val="0"/>
      <w:marBottom w:val="0"/>
      <w:divBdr>
        <w:top w:val="none" w:sz="0" w:space="0" w:color="auto"/>
        <w:left w:val="none" w:sz="0" w:space="0" w:color="auto"/>
        <w:bottom w:val="none" w:sz="0" w:space="0" w:color="auto"/>
        <w:right w:val="none" w:sz="0" w:space="0" w:color="auto"/>
      </w:divBdr>
    </w:div>
    <w:div w:id="877469575">
      <w:bodyDiv w:val="1"/>
      <w:marLeft w:val="0"/>
      <w:marRight w:val="0"/>
      <w:marTop w:val="0"/>
      <w:marBottom w:val="0"/>
      <w:divBdr>
        <w:top w:val="none" w:sz="0" w:space="0" w:color="auto"/>
        <w:left w:val="none" w:sz="0" w:space="0" w:color="auto"/>
        <w:bottom w:val="none" w:sz="0" w:space="0" w:color="auto"/>
        <w:right w:val="none" w:sz="0" w:space="0" w:color="auto"/>
      </w:divBdr>
    </w:div>
    <w:div w:id="970214161">
      <w:bodyDiv w:val="1"/>
      <w:marLeft w:val="0"/>
      <w:marRight w:val="0"/>
      <w:marTop w:val="0"/>
      <w:marBottom w:val="0"/>
      <w:divBdr>
        <w:top w:val="none" w:sz="0" w:space="0" w:color="auto"/>
        <w:left w:val="none" w:sz="0" w:space="0" w:color="auto"/>
        <w:bottom w:val="none" w:sz="0" w:space="0" w:color="auto"/>
        <w:right w:val="none" w:sz="0" w:space="0" w:color="auto"/>
      </w:divBdr>
    </w:div>
    <w:div w:id="1277713342">
      <w:bodyDiv w:val="1"/>
      <w:marLeft w:val="0"/>
      <w:marRight w:val="0"/>
      <w:marTop w:val="0"/>
      <w:marBottom w:val="0"/>
      <w:divBdr>
        <w:top w:val="none" w:sz="0" w:space="0" w:color="auto"/>
        <w:left w:val="none" w:sz="0" w:space="0" w:color="auto"/>
        <w:bottom w:val="none" w:sz="0" w:space="0" w:color="auto"/>
        <w:right w:val="none" w:sz="0" w:space="0" w:color="auto"/>
      </w:divBdr>
    </w:div>
    <w:div w:id="1603996534">
      <w:bodyDiv w:val="1"/>
      <w:marLeft w:val="0"/>
      <w:marRight w:val="0"/>
      <w:marTop w:val="0"/>
      <w:marBottom w:val="0"/>
      <w:divBdr>
        <w:top w:val="none" w:sz="0" w:space="0" w:color="auto"/>
        <w:left w:val="none" w:sz="0" w:space="0" w:color="auto"/>
        <w:bottom w:val="none" w:sz="0" w:space="0" w:color="auto"/>
        <w:right w:val="none" w:sz="0" w:space="0" w:color="auto"/>
      </w:divBdr>
    </w:div>
    <w:div w:id="1975864646">
      <w:bodyDiv w:val="1"/>
      <w:marLeft w:val="0"/>
      <w:marRight w:val="0"/>
      <w:marTop w:val="0"/>
      <w:marBottom w:val="0"/>
      <w:divBdr>
        <w:top w:val="none" w:sz="0" w:space="0" w:color="auto"/>
        <w:left w:val="none" w:sz="0" w:space="0" w:color="auto"/>
        <w:bottom w:val="none" w:sz="0" w:space="0" w:color="auto"/>
        <w:right w:val="none" w:sz="0" w:space="0" w:color="auto"/>
      </w:divBdr>
    </w:div>
    <w:div w:id="1977376135">
      <w:bodyDiv w:val="1"/>
      <w:marLeft w:val="0"/>
      <w:marRight w:val="0"/>
      <w:marTop w:val="0"/>
      <w:marBottom w:val="0"/>
      <w:divBdr>
        <w:top w:val="none" w:sz="0" w:space="0" w:color="auto"/>
        <w:left w:val="none" w:sz="0" w:space="0" w:color="auto"/>
        <w:bottom w:val="none" w:sz="0" w:space="0" w:color="auto"/>
        <w:right w:val="none" w:sz="0" w:space="0" w:color="auto"/>
      </w:divBdr>
    </w:div>
    <w:div w:id="2017032954">
      <w:bodyDiv w:val="1"/>
      <w:marLeft w:val="0"/>
      <w:marRight w:val="0"/>
      <w:marTop w:val="0"/>
      <w:marBottom w:val="0"/>
      <w:divBdr>
        <w:top w:val="none" w:sz="0" w:space="0" w:color="auto"/>
        <w:left w:val="none" w:sz="0" w:space="0" w:color="auto"/>
        <w:bottom w:val="none" w:sz="0" w:space="0" w:color="auto"/>
        <w:right w:val="none" w:sz="0" w:space="0" w:color="auto"/>
      </w:divBdr>
    </w:div>
    <w:div w:id="2045322759">
      <w:bodyDiv w:val="1"/>
      <w:marLeft w:val="0"/>
      <w:marRight w:val="0"/>
      <w:marTop w:val="0"/>
      <w:marBottom w:val="0"/>
      <w:divBdr>
        <w:top w:val="none" w:sz="0" w:space="0" w:color="auto"/>
        <w:left w:val="none" w:sz="0" w:space="0" w:color="auto"/>
        <w:bottom w:val="none" w:sz="0" w:space="0" w:color="auto"/>
        <w:right w:val="none" w:sz="0" w:space="0" w:color="auto"/>
      </w:divBdr>
    </w:div>
    <w:div w:id="210687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7C0DFA32A943E89C3606659FDA289C"/>
        <w:category>
          <w:name w:val="Общие"/>
          <w:gallery w:val="placeholder"/>
        </w:category>
        <w:types>
          <w:type w:val="bbPlcHdr"/>
        </w:types>
        <w:behaviors>
          <w:behavior w:val="content"/>
        </w:behaviors>
        <w:guid w:val="{936A8619-BBB1-4550-92DF-69AB83AC0E71}"/>
      </w:docPartPr>
      <w:docPartBody>
        <w:p w:rsidR="004F4757" w:rsidRDefault="00E90C48" w:rsidP="00E90C48">
          <w:pPr>
            <w:pStyle w:val="F67C0DFA32A943E89C3606659FDA289C"/>
          </w:pPr>
          <w:r w:rsidRPr="00CD2459">
            <w:rPr>
              <w:rStyle w:val="a3"/>
            </w:rPr>
            <w:t>Выберите элемент.</w:t>
          </w:r>
        </w:p>
      </w:docPartBody>
    </w:docPart>
    <w:docPart>
      <w:docPartPr>
        <w:name w:val="62D666EC8D564FCB9574326AF94EA7D2"/>
        <w:category>
          <w:name w:val="Общие"/>
          <w:gallery w:val="placeholder"/>
        </w:category>
        <w:types>
          <w:type w:val="bbPlcHdr"/>
        </w:types>
        <w:behaviors>
          <w:behavior w:val="content"/>
        </w:behaviors>
        <w:guid w:val="{AB43B0AE-00FA-4C94-8C8E-900A31697FF3}"/>
      </w:docPartPr>
      <w:docPartBody>
        <w:p w:rsidR="004F4757" w:rsidRDefault="00E90C48" w:rsidP="00E90C48">
          <w:pPr>
            <w:pStyle w:val="62D666EC8D564FCB9574326AF94EA7D2"/>
          </w:pPr>
          <w:r w:rsidRPr="00CD2459">
            <w:rPr>
              <w:rStyle w:val="a3"/>
            </w:rPr>
            <w:t>Выберите элемент.</w:t>
          </w:r>
        </w:p>
      </w:docPartBody>
    </w:docPart>
    <w:docPart>
      <w:docPartPr>
        <w:name w:val="90CD206605B24B39A4AEB85ADA618550"/>
        <w:category>
          <w:name w:val="Общие"/>
          <w:gallery w:val="placeholder"/>
        </w:category>
        <w:types>
          <w:type w:val="bbPlcHdr"/>
        </w:types>
        <w:behaviors>
          <w:behavior w:val="content"/>
        </w:behaviors>
        <w:guid w:val="{9CD41470-1F55-44AA-BCE7-05BFF098ECAF}"/>
      </w:docPartPr>
      <w:docPartBody>
        <w:p w:rsidR="004F4757" w:rsidRDefault="00E90C48" w:rsidP="00E90C48">
          <w:pPr>
            <w:pStyle w:val="90CD206605B24B39A4AEB85ADA618550"/>
          </w:pPr>
          <w:r w:rsidRPr="00CD2459">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0E7"/>
    <w:rsid w:val="00007F3C"/>
    <w:rsid w:val="00011C2C"/>
    <w:rsid w:val="00014EBA"/>
    <w:rsid w:val="00015E6C"/>
    <w:rsid w:val="000213FA"/>
    <w:rsid w:val="000222BE"/>
    <w:rsid w:val="0004792A"/>
    <w:rsid w:val="0006295B"/>
    <w:rsid w:val="00075606"/>
    <w:rsid w:val="000A68C1"/>
    <w:rsid w:val="000C205C"/>
    <w:rsid w:val="000C6CD0"/>
    <w:rsid w:val="000D522A"/>
    <w:rsid w:val="000E3E11"/>
    <w:rsid w:val="000F3476"/>
    <w:rsid w:val="00112FE3"/>
    <w:rsid w:val="00116832"/>
    <w:rsid w:val="001258E8"/>
    <w:rsid w:val="00127720"/>
    <w:rsid w:val="00127EC6"/>
    <w:rsid w:val="0013128F"/>
    <w:rsid w:val="00141F13"/>
    <w:rsid w:val="001472BF"/>
    <w:rsid w:val="00150C29"/>
    <w:rsid w:val="00184B59"/>
    <w:rsid w:val="0019623E"/>
    <w:rsid w:val="001A083C"/>
    <w:rsid w:val="001A6FDE"/>
    <w:rsid w:val="001C0F28"/>
    <w:rsid w:val="001C5D40"/>
    <w:rsid w:val="001C692E"/>
    <w:rsid w:val="001D2834"/>
    <w:rsid w:val="001D4641"/>
    <w:rsid w:val="001E4BBE"/>
    <w:rsid w:val="001E7028"/>
    <w:rsid w:val="00212EC0"/>
    <w:rsid w:val="00216B87"/>
    <w:rsid w:val="00223A41"/>
    <w:rsid w:val="002339F0"/>
    <w:rsid w:val="00233A9D"/>
    <w:rsid w:val="0024032C"/>
    <w:rsid w:val="0024305D"/>
    <w:rsid w:val="00246FE7"/>
    <w:rsid w:val="00254C47"/>
    <w:rsid w:val="00282F1B"/>
    <w:rsid w:val="00293554"/>
    <w:rsid w:val="002976A2"/>
    <w:rsid w:val="002A6AF5"/>
    <w:rsid w:val="002A710E"/>
    <w:rsid w:val="002B2072"/>
    <w:rsid w:val="002C1BAC"/>
    <w:rsid w:val="002C1E5F"/>
    <w:rsid w:val="0033631B"/>
    <w:rsid w:val="00346171"/>
    <w:rsid w:val="00357B6C"/>
    <w:rsid w:val="00364741"/>
    <w:rsid w:val="0037141E"/>
    <w:rsid w:val="00382ABE"/>
    <w:rsid w:val="00382BE4"/>
    <w:rsid w:val="003C6C37"/>
    <w:rsid w:val="003F2872"/>
    <w:rsid w:val="003F3BA4"/>
    <w:rsid w:val="0040417A"/>
    <w:rsid w:val="00425D52"/>
    <w:rsid w:val="00432BD4"/>
    <w:rsid w:val="00450A75"/>
    <w:rsid w:val="00457BBB"/>
    <w:rsid w:val="00465E97"/>
    <w:rsid w:val="00492D32"/>
    <w:rsid w:val="004A4BFB"/>
    <w:rsid w:val="004A5885"/>
    <w:rsid w:val="004B22E8"/>
    <w:rsid w:val="004C1030"/>
    <w:rsid w:val="004F1236"/>
    <w:rsid w:val="004F4757"/>
    <w:rsid w:val="004F4A80"/>
    <w:rsid w:val="00500BCA"/>
    <w:rsid w:val="00500D51"/>
    <w:rsid w:val="00514B55"/>
    <w:rsid w:val="00526027"/>
    <w:rsid w:val="005317AC"/>
    <w:rsid w:val="005552EC"/>
    <w:rsid w:val="005560AD"/>
    <w:rsid w:val="005563ED"/>
    <w:rsid w:val="00576B03"/>
    <w:rsid w:val="005800E7"/>
    <w:rsid w:val="005816F7"/>
    <w:rsid w:val="005A0D06"/>
    <w:rsid w:val="005C7475"/>
    <w:rsid w:val="005E1143"/>
    <w:rsid w:val="005E3A02"/>
    <w:rsid w:val="00601691"/>
    <w:rsid w:val="006074E2"/>
    <w:rsid w:val="0061436C"/>
    <w:rsid w:val="006234A7"/>
    <w:rsid w:val="00630EBC"/>
    <w:rsid w:val="006349CB"/>
    <w:rsid w:val="006377AD"/>
    <w:rsid w:val="006433FE"/>
    <w:rsid w:val="0065049C"/>
    <w:rsid w:val="006512A4"/>
    <w:rsid w:val="006565CB"/>
    <w:rsid w:val="00680835"/>
    <w:rsid w:val="006A2857"/>
    <w:rsid w:val="006A622A"/>
    <w:rsid w:val="006C1286"/>
    <w:rsid w:val="00701FD2"/>
    <w:rsid w:val="007020B9"/>
    <w:rsid w:val="007162E1"/>
    <w:rsid w:val="0074249A"/>
    <w:rsid w:val="00742F37"/>
    <w:rsid w:val="00746156"/>
    <w:rsid w:val="00766F2E"/>
    <w:rsid w:val="0076791D"/>
    <w:rsid w:val="00781BE9"/>
    <w:rsid w:val="00793170"/>
    <w:rsid w:val="007B18EC"/>
    <w:rsid w:val="007E1BB5"/>
    <w:rsid w:val="00805983"/>
    <w:rsid w:val="00811618"/>
    <w:rsid w:val="00815663"/>
    <w:rsid w:val="00824FA6"/>
    <w:rsid w:val="008276C0"/>
    <w:rsid w:val="00830090"/>
    <w:rsid w:val="00841EAA"/>
    <w:rsid w:val="00876D97"/>
    <w:rsid w:val="00882745"/>
    <w:rsid w:val="00883494"/>
    <w:rsid w:val="00894587"/>
    <w:rsid w:val="008B17E7"/>
    <w:rsid w:val="008B1F76"/>
    <w:rsid w:val="008B471F"/>
    <w:rsid w:val="008C228B"/>
    <w:rsid w:val="008D0970"/>
    <w:rsid w:val="008D15D1"/>
    <w:rsid w:val="008D4BF3"/>
    <w:rsid w:val="008E15E3"/>
    <w:rsid w:val="008E307F"/>
    <w:rsid w:val="0091253C"/>
    <w:rsid w:val="0091636F"/>
    <w:rsid w:val="009364CA"/>
    <w:rsid w:val="009420ED"/>
    <w:rsid w:val="009547AB"/>
    <w:rsid w:val="00961539"/>
    <w:rsid w:val="009641B6"/>
    <w:rsid w:val="00965A54"/>
    <w:rsid w:val="0097292D"/>
    <w:rsid w:val="00982AB9"/>
    <w:rsid w:val="00991777"/>
    <w:rsid w:val="00992BB3"/>
    <w:rsid w:val="00A0188E"/>
    <w:rsid w:val="00A11C51"/>
    <w:rsid w:val="00A11DF2"/>
    <w:rsid w:val="00A125D5"/>
    <w:rsid w:val="00A15028"/>
    <w:rsid w:val="00A20BC5"/>
    <w:rsid w:val="00A253A7"/>
    <w:rsid w:val="00A54713"/>
    <w:rsid w:val="00A67797"/>
    <w:rsid w:val="00A75714"/>
    <w:rsid w:val="00A97668"/>
    <w:rsid w:val="00AA3C8F"/>
    <w:rsid w:val="00AB5358"/>
    <w:rsid w:val="00AC1834"/>
    <w:rsid w:val="00AC22A1"/>
    <w:rsid w:val="00AD33D5"/>
    <w:rsid w:val="00AD4D90"/>
    <w:rsid w:val="00AF0080"/>
    <w:rsid w:val="00AF66FC"/>
    <w:rsid w:val="00B10CB0"/>
    <w:rsid w:val="00B37F66"/>
    <w:rsid w:val="00B4433A"/>
    <w:rsid w:val="00B44BB2"/>
    <w:rsid w:val="00B46D60"/>
    <w:rsid w:val="00B71319"/>
    <w:rsid w:val="00B752D6"/>
    <w:rsid w:val="00B81795"/>
    <w:rsid w:val="00B86E7F"/>
    <w:rsid w:val="00BB49E5"/>
    <w:rsid w:val="00BD4AD7"/>
    <w:rsid w:val="00BF616C"/>
    <w:rsid w:val="00C04260"/>
    <w:rsid w:val="00C27418"/>
    <w:rsid w:val="00C40EB1"/>
    <w:rsid w:val="00C53EE8"/>
    <w:rsid w:val="00C92ACD"/>
    <w:rsid w:val="00CB00F6"/>
    <w:rsid w:val="00CB56B4"/>
    <w:rsid w:val="00CC18F3"/>
    <w:rsid w:val="00CC2BF3"/>
    <w:rsid w:val="00CD05E9"/>
    <w:rsid w:val="00CE289B"/>
    <w:rsid w:val="00CE3BDC"/>
    <w:rsid w:val="00CF2F9B"/>
    <w:rsid w:val="00D037FB"/>
    <w:rsid w:val="00D03F04"/>
    <w:rsid w:val="00D22EBC"/>
    <w:rsid w:val="00D23E55"/>
    <w:rsid w:val="00D33C1B"/>
    <w:rsid w:val="00D412C7"/>
    <w:rsid w:val="00D5556A"/>
    <w:rsid w:val="00D70AA3"/>
    <w:rsid w:val="00D74622"/>
    <w:rsid w:val="00DB0BED"/>
    <w:rsid w:val="00DB462D"/>
    <w:rsid w:val="00DD10F5"/>
    <w:rsid w:val="00DE38A4"/>
    <w:rsid w:val="00DE4A69"/>
    <w:rsid w:val="00DF6E90"/>
    <w:rsid w:val="00E01CB9"/>
    <w:rsid w:val="00E326A7"/>
    <w:rsid w:val="00E54328"/>
    <w:rsid w:val="00E54F92"/>
    <w:rsid w:val="00E55E00"/>
    <w:rsid w:val="00E60153"/>
    <w:rsid w:val="00E64ECB"/>
    <w:rsid w:val="00E66295"/>
    <w:rsid w:val="00E80546"/>
    <w:rsid w:val="00E844DD"/>
    <w:rsid w:val="00E86F5F"/>
    <w:rsid w:val="00E90C48"/>
    <w:rsid w:val="00E91EF3"/>
    <w:rsid w:val="00EB40EE"/>
    <w:rsid w:val="00EB48FB"/>
    <w:rsid w:val="00EB6509"/>
    <w:rsid w:val="00ED11F1"/>
    <w:rsid w:val="00ED76C8"/>
    <w:rsid w:val="00EE11ED"/>
    <w:rsid w:val="00EE4FCB"/>
    <w:rsid w:val="00EF1B7C"/>
    <w:rsid w:val="00EF4557"/>
    <w:rsid w:val="00F340E4"/>
    <w:rsid w:val="00F42524"/>
    <w:rsid w:val="00F5724E"/>
    <w:rsid w:val="00F5780B"/>
    <w:rsid w:val="00F8015B"/>
    <w:rsid w:val="00F86B5F"/>
    <w:rsid w:val="00F94AAB"/>
    <w:rsid w:val="00FA1317"/>
    <w:rsid w:val="00FA5E2F"/>
    <w:rsid w:val="00FB13C5"/>
    <w:rsid w:val="00FB2359"/>
    <w:rsid w:val="00FC26B4"/>
    <w:rsid w:val="00FE1461"/>
    <w:rsid w:val="00FE333D"/>
    <w:rsid w:val="00FE6DB9"/>
    <w:rsid w:val="00FE70AB"/>
    <w:rsid w:val="00FE7BAF"/>
    <w:rsid w:val="00FF0536"/>
    <w:rsid w:val="00FF7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382ABE"/>
    <w:rPr>
      <w:color w:val="808080"/>
    </w:rPr>
  </w:style>
  <w:style w:type="paragraph" w:customStyle="1" w:styleId="F67C0DFA32A943E89C3606659FDA289C">
    <w:name w:val="F67C0DFA32A943E89C3606659FDA289C"/>
    <w:rsid w:val="00E90C48"/>
  </w:style>
  <w:style w:type="paragraph" w:customStyle="1" w:styleId="62D666EC8D564FCB9574326AF94EA7D2">
    <w:name w:val="62D666EC8D564FCB9574326AF94EA7D2"/>
    <w:rsid w:val="00E90C48"/>
  </w:style>
  <w:style w:type="paragraph" w:customStyle="1" w:styleId="90CD206605B24B39A4AEB85ADA618550">
    <w:name w:val="90CD206605B24B39A4AEB85ADA618550"/>
    <w:rsid w:val="00E90C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279E5-D965-4F5C-A173-3DD8E224E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15990</Words>
  <Characters>91144</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Рыженко Денис Анатольевич</dc:creator>
  <cp:keywords/>
  <dc:description/>
  <cp:lastModifiedBy>Фалин Алексей Иванович</cp:lastModifiedBy>
  <cp:revision>2</cp:revision>
  <cp:lastPrinted>2014-11-14T11:53:00Z</cp:lastPrinted>
  <dcterms:created xsi:type="dcterms:W3CDTF">2025-04-15T13:33:00Z</dcterms:created>
  <dcterms:modified xsi:type="dcterms:W3CDTF">2025-04-15T13:33:00Z</dcterms:modified>
</cp:coreProperties>
</file>