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B10EE" w14:textId="01155D72" w:rsidR="00203445" w:rsidRDefault="00E7337C" w:rsidP="00203445">
      <w:pPr>
        <w:jc w:val="center"/>
        <w:rPr>
          <w:rFonts w:ascii="Times New Roman" w:hAnsi="Times New Roman" w:cs="Times New Roman"/>
        </w:rPr>
      </w:pPr>
      <w:r w:rsidRPr="00203445">
        <w:rPr>
          <w:rFonts w:ascii="Times New Roman" w:hAnsi="Times New Roman" w:cs="Times New Roman"/>
        </w:rPr>
        <w:t>Описание вносимых изменений</w:t>
      </w:r>
    </w:p>
    <w:p w14:paraId="157A2301" w14:textId="4968FBA7" w:rsidR="00E7337C" w:rsidRPr="00203445" w:rsidRDefault="00E7337C">
      <w:pPr>
        <w:rPr>
          <w:rFonts w:ascii="Times New Roman" w:hAnsi="Times New Roman" w:cs="Times New Roman"/>
        </w:rPr>
      </w:pPr>
      <w:r w:rsidRPr="00203445">
        <w:rPr>
          <w:rFonts w:ascii="Times New Roman" w:hAnsi="Times New Roman" w:cs="Times New Roman"/>
        </w:rPr>
        <w:t>в Регламент брокерского обслуживания АО «ИК «Горизонт» (редакция, утвержденная Приказом Генерального директора АО «ИК «Горизонт»</w:t>
      </w:r>
      <w:r w:rsidRPr="00203445">
        <w:rPr>
          <w:rFonts w:ascii="Times New Roman" w:hAnsi="Times New Roman" w:cs="Times New Roman"/>
          <w:b/>
        </w:rPr>
        <w:t xml:space="preserve"> № 20241002-1 от 02.10.2024 г.</w:t>
      </w:r>
      <w:r w:rsidRPr="00203445">
        <w:rPr>
          <w:rFonts w:ascii="Times New Roman" w:hAnsi="Times New Roman" w:cs="Times New Roman"/>
        </w:rPr>
        <w:t xml:space="preserve">) </w:t>
      </w:r>
      <w:r w:rsidR="004C2278" w:rsidRPr="00203445">
        <w:rPr>
          <w:rFonts w:ascii="Times New Roman" w:hAnsi="Times New Roman" w:cs="Times New Roman"/>
        </w:rPr>
        <w:t>(Далее - Регламент)</w:t>
      </w:r>
    </w:p>
    <w:p w14:paraId="7D5173B2" w14:textId="38D0718B" w:rsidR="00E7337C" w:rsidRDefault="00E7337C"/>
    <w:tbl>
      <w:tblPr>
        <w:tblStyle w:val="a3"/>
        <w:tblW w:w="0" w:type="auto"/>
        <w:tblLook w:val="04A0" w:firstRow="1" w:lastRow="0" w:firstColumn="1" w:lastColumn="0" w:noHBand="0" w:noVBand="1"/>
      </w:tblPr>
      <w:tblGrid>
        <w:gridCol w:w="3563"/>
        <w:gridCol w:w="3563"/>
        <w:gridCol w:w="2219"/>
      </w:tblGrid>
      <w:tr w:rsidR="00E7337C" w:rsidRPr="004C2278" w14:paraId="14491434" w14:textId="77777777" w:rsidTr="004C2278">
        <w:tc>
          <w:tcPr>
            <w:tcW w:w="3563" w:type="dxa"/>
          </w:tcPr>
          <w:p w14:paraId="576753D9" w14:textId="4DB37E3F" w:rsidR="00E7337C" w:rsidRPr="004C2278" w:rsidRDefault="00E7337C">
            <w:pPr>
              <w:rPr>
                <w:rFonts w:ascii="Times New Roman" w:hAnsi="Times New Roman" w:cs="Times New Roman"/>
                <w:sz w:val="20"/>
                <w:szCs w:val="20"/>
              </w:rPr>
            </w:pPr>
            <w:r w:rsidRPr="004C2278">
              <w:rPr>
                <w:rFonts w:ascii="Times New Roman" w:hAnsi="Times New Roman" w:cs="Times New Roman"/>
                <w:sz w:val="20"/>
                <w:szCs w:val="20"/>
              </w:rPr>
              <w:t xml:space="preserve">Прежняя редакция </w:t>
            </w:r>
          </w:p>
        </w:tc>
        <w:tc>
          <w:tcPr>
            <w:tcW w:w="3563" w:type="dxa"/>
          </w:tcPr>
          <w:p w14:paraId="3208836D" w14:textId="40BCED00" w:rsidR="00E7337C" w:rsidRPr="004C2278" w:rsidRDefault="00E7337C">
            <w:pPr>
              <w:rPr>
                <w:rFonts w:ascii="Times New Roman" w:hAnsi="Times New Roman" w:cs="Times New Roman"/>
                <w:sz w:val="20"/>
                <w:szCs w:val="20"/>
              </w:rPr>
            </w:pPr>
            <w:r w:rsidRPr="004C2278">
              <w:rPr>
                <w:rFonts w:ascii="Times New Roman" w:hAnsi="Times New Roman" w:cs="Times New Roman"/>
                <w:sz w:val="20"/>
                <w:szCs w:val="20"/>
              </w:rPr>
              <w:t>Новая редакция</w:t>
            </w:r>
          </w:p>
        </w:tc>
        <w:tc>
          <w:tcPr>
            <w:tcW w:w="2219" w:type="dxa"/>
          </w:tcPr>
          <w:p w14:paraId="0BA6AD0A" w14:textId="1420BCB7" w:rsidR="00E7337C" w:rsidRPr="004C2278" w:rsidRDefault="00E7337C">
            <w:pPr>
              <w:rPr>
                <w:rFonts w:ascii="Times New Roman" w:hAnsi="Times New Roman" w:cs="Times New Roman"/>
                <w:sz w:val="20"/>
                <w:szCs w:val="20"/>
              </w:rPr>
            </w:pPr>
            <w:r w:rsidRPr="004C2278">
              <w:rPr>
                <w:rFonts w:ascii="Times New Roman" w:hAnsi="Times New Roman" w:cs="Times New Roman"/>
                <w:sz w:val="20"/>
                <w:szCs w:val="20"/>
              </w:rPr>
              <w:t>Комментарии</w:t>
            </w:r>
          </w:p>
        </w:tc>
      </w:tr>
      <w:tr w:rsidR="000F5444" w:rsidRPr="004C2278" w14:paraId="366C4467" w14:textId="77777777" w:rsidTr="00905501">
        <w:tc>
          <w:tcPr>
            <w:tcW w:w="9345" w:type="dxa"/>
            <w:gridSpan w:val="3"/>
          </w:tcPr>
          <w:p w14:paraId="318E2D4A" w14:textId="06A7BFFC" w:rsidR="000F5444" w:rsidRPr="004C2278" w:rsidRDefault="000F5444" w:rsidP="004C2278">
            <w:pPr>
              <w:jc w:val="center"/>
              <w:rPr>
                <w:rFonts w:ascii="Times New Roman" w:hAnsi="Times New Roman" w:cs="Times New Roman"/>
                <w:b/>
              </w:rPr>
            </w:pPr>
            <w:bookmarkStart w:id="0" w:name="_Hlk178958853"/>
            <w:r w:rsidRPr="004C2278">
              <w:rPr>
                <w:rFonts w:ascii="Times New Roman" w:hAnsi="Times New Roman" w:cs="Times New Roman"/>
                <w:b/>
              </w:rPr>
              <w:t xml:space="preserve">Изменения по всему тексту </w:t>
            </w:r>
            <w:r w:rsidR="00653143">
              <w:rPr>
                <w:rFonts w:ascii="Times New Roman" w:hAnsi="Times New Roman" w:cs="Times New Roman"/>
                <w:b/>
              </w:rPr>
              <w:t>Р</w:t>
            </w:r>
            <w:r w:rsidRPr="004C2278">
              <w:rPr>
                <w:rFonts w:ascii="Times New Roman" w:hAnsi="Times New Roman" w:cs="Times New Roman"/>
                <w:b/>
              </w:rPr>
              <w:t>егламента</w:t>
            </w:r>
            <w:r w:rsidR="00653143" w:rsidRPr="009945D0">
              <w:rPr>
                <w:rFonts w:ascii="Times New Roman" w:hAnsi="Times New Roman" w:cs="Times New Roman"/>
                <w:b/>
              </w:rPr>
              <w:t>, включая приложения</w:t>
            </w:r>
            <w:bookmarkStart w:id="1" w:name="_GoBack"/>
            <w:bookmarkEnd w:id="1"/>
            <w:r w:rsidRPr="004C2278">
              <w:rPr>
                <w:rFonts w:ascii="Times New Roman" w:hAnsi="Times New Roman" w:cs="Times New Roman"/>
                <w:b/>
              </w:rPr>
              <w:t>:</w:t>
            </w:r>
          </w:p>
        </w:tc>
      </w:tr>
      <w:tr w:rsidR="00E13E10" w:rsidRPr="004C2278" w14:paraId="356FF247" w14:textId="77777777" w:rsidTr="004C2278">
        <w:tc>
          <w:tcPr>
            <w:tcW w:w="3563" w:type="dxa"/>
          </w:tcPr>
          <w:p w14:paraId="7288F90F" w14:textId="43D53CF5" w:rsidR="00E13E10" w:rsidRPr="004C2278" w:rsidRDefault="00E13E10">
            <w:pPr>
              <w:rPr>
                <w:rFonts w:ascii="Times New Roman" w:hAnsi="Times New Roman" w:cs="Times New Roman"/>
              </w:rPr>
            </w:pPr>
            <w:r w:rsidRPr="004C2278">
              <w:rPr>
                <w:rFonts w:ascii="Times New Roman" w:hAnsi="Times New Roman" w:cs="Times New Roman"/>
                <w:sz w:val="18"/>
                <w:szCs w:val="18"/>
              </w:rPr>
              <w:t>Общество с ограниченной ответственностью «Управляющая компания «Горизонт»</w:t>
            </w:r>
          </w:p>
        </w:tc>
        <w:tc>
          <w:tcPr>
            <w:tcW w:w="3563" w:type="dxa"/>
          </w:tcPr>
          <w:p w14:paraId="0BC7A5E5" w14:textId="7E773E61" w:rsidR="00E13E10" w:rsidRPr="004C2278" w:rsidRDefault="00E13E10">
            <w:pPr>
              <w:rPr>
                <w:rFonts w:ascii="Times New Roman" w:hAnsi="Times New Roman" w:cs="Times New Roman"/>
              </w:rPr>
            </w:pPr>
            <w:r w:rsidRPr="004C2278">
              <w:rPr>
                <w:rFonts w:ascii="Times New Roman" w:hAnsi="Times New Roman" w:cs="Times New Roman"/>
                <w:sz w:val="18"/>
                <w:szCs w:val="18"/>
              </w:rPr>
              <w:t>Акционерное общество «Инвестиционная компания «Горизонт»</w:t>
            </w:r>
          </w:p>
        </w:tc>
        <w:tc>
          <w:tcPr>
            <w:tcW w:w="2219" w:type="dxa"/>
            <w:vMerge w:val="restart"/>
          </w:tcPr>
          <w:p w14:paraId="0533F5F9" w14:textId="7E08E147" w:rsidR="00E13E10" w:rsidRPr="004C2278" w:rsidRDefault="00E13E10">
            <w:pPr>
              <w:rPr>
                <w:rFonts w:ascii="Times New Roman" w:hAnsi="Times New Roman" w:cs="Times New Roman"/>
              </w:rPr>
            </w:pPr>
            <w:r w:rsidRPr="00AA01E8">
              <w:rPr>
                <w:rFonts w:ascii="Times New Roman" w:hAnsi="Times New Roman" w:cs="Times New Roman"/>
                <w:sz w:val="18"/>
                <w:szCs w:val="18"/>
              </w:rPr>
              <w:t>В связи с реорганизацией</w:t>
            </w:r>
          </w:p>
        </w:tc>
      </w:tr>
      <w:tr w:rsidR="00E13E10" w:rsidRPr="004C2278" w14:paraId="5DB303F0" w14:textId="77777777" w:rsidTr="004C2278">
        <w:tc>
          <w:tcPr>
            <w:tcW w:w="3563" w:type="dxa"/>
          </w:tcPr>
          <w:p w14:paraId="22AE56B3" w14:textId="601D861A" w:rsidR="00E13E10" w:rsidRPr="004C2278" w:rsidRDefault="00E13E10">
            <w:pPr>
              <w:rPr>
                <w:rFonts w:ascii="Times New Roman" w:hAnsi="Times New Roman" w:cs="Times New Roman"/>
              </w:rPr>
            </w:pPr>
            <w:r w:rsidRPr="004C2278">
              <w:rPr>
                <w:rFonts w:ascii="Times New Roman" w:hAnsi="Times New Roman" w:cs="Times New Roman"/>
                <w:sz w:val="18"/>
                <w:szCs w:val="18"/>
              </w:rPr>
              <w:t>ООО «УК «Горизонт»</w:t>
            </w:r>
          </w:p>
        </w:tc>
        <w:tc>
          <w:tcPr>
            <w:tcW w:w="3563" w:type="dxa"/>
          </w:tcPr>
          <w:p w14:paraId="1540E0C1" w14:textId="0E1E6177" w:rsidR="00E13E10" w:rsidRPr="004C2278" w:rsidRDefault="00E13E10">
            <w:pPr>
              <w:rPr>
                <w:rFonts w:ascii="Times New Roman" w:hAnsi="Times New Roman" w:cs="Times New Roman"/>
              </w:rPr>
            </w:pPr>
            <w:r w:rsidRPr="004C2278">
              <w:rPr>
                <w:rFonts w:ascii="Times New Roman" w:hAnsi="Times New Roman" w:cs="Times New Roman"/>
                <w:sz w:val="18"/>
                <w:szCs w:val="18"/>
              </w:rPr>
              <w:t>АО «ИК «Горизонт»</w:t>
            </w:r>
          </w:p>
        </w:tc>
        <w:tc>
          <w:tcPr>
            <w:tcW w:w="2219" w:type="dxa"/>
            <w:vMerge/>
          </w:tcPr>
          <w:p w14:paraId="74FB09C7" w14:textId="77777777" w:rsidR="00E13E10" w:rsidRPr="004C2278" w:rsidRDefault="00E13E10">
            <w:pPr>
              <w:rPr>
                <w:rFonts w:ascii="Times New Roman" w:hAnsi="Times New Roman" w:cs="Times New Roman"/>
              </w:rPr>
            </w:pPr>
          </w:p>
        </w:tc>
      </w:tr>
      <w:tr w:rsidR="004C2278" w:rsidRPr="004C2278" w14:paraId="2336B421" w14:textId="77777777" w:rsidTr="002C21CC">
        <w:tc>
          <w:tcPr>
            <w:tcW w:w="9345" w:type="dxa"/>
            <w:gridSpan w:val="3"/>
          </w:tcPr>
          <w:p w14:paraId="7E83D95D" w14:textId="4CC28135" w:rsidR="004C2278" w:rsidRPr="004C2278" w:rsidRDefault="004C2278" w:rsidP="004C2278">
            <w:pPr>
              <w:jc w:val="center"/>
              <w:rPr>
                <w:rFonts w:ascii="Times New Roman" w:hAnsi="Times New Roman" w:cs="Times New Roman"/>
              </w:rPr>
            </w:pPr>
            <w:r w:rsidRPr="009945D0">
              <w:rPr>
                <w:rFonts w:ascii="Times New Roman" w:hAnsi="Times New Roman" w:cs="Times New Roman"/>
                <w:b/>
              </w:rPr>
              <w:t xml:space="preserve">Изменения отдельных пунктов </w:t>
            </w:r>
            <w:r>
              <w:rPr>
                <w:rFonts w:ascii="Times New Roman" w:hAnsi="Times New Roman" w:cs="Times New Roman"/>
                <w:b/>
              </w:rPr>
              <w:t>Регламента</w:t>
            </w:r>
            <w:r w:rsidRPr="009945D0">
              <w:rPr>
                <w:rFonts w:ascii="Times New Roman" w:hAnsi="Times New Roman" w:cs="Times New Roman"/>
                <w:b/>
              </w:rPr>
              <w:t>:</w:t>
            </w:r>
          </w:p>
        </w:tc>
      </w:tr>
      <w:tr w:rsidR="00E7337C" w:rsidRPr="004C2278" w14:paraId="09FBA37C" w14:textId="77777777" w:rsidTr="004C2278">
        <w:tc>
          <w:tcPr>
            <w:tcW w:w="3563" w:type="dxa"/>
          </w:tcPr>
          <w:p w14:paraId="6A54DF03" w14:textId="742A24EA" w:rsidR="00E7337C" w:rsidRPr="004C2278" w:rsidRDefault="00B76C79">
            <w:pPr>
              <w:rPr>
                <w:rFonts w:ascii="Times New Roman" w:hAnsi="Times New Roman" w:cs="Times New Roman"/>
                <w:sz w:val="18"/>
                <w:szCs w:val="18"/>
              </w:rPr>
            </w:pPr>
            <w:r w:rsidRPr="004C2278">
              <w:rPr>
                <w:rFonts w:ascii="Times New Roman" w:hAnsi="Times New Roman" w:cs="Times New Roman"/>
                <w:sz w:val="18"/>
                <w:szCs w:val="18"/>
              </w:rPr>
              <w:t>Часть пункта 1.3.2</w:t>
            </w:r>
            <w:r w:rsidR="00355F33">
              <w:rPr>
                <w:rFonts w:ascii="Times New Roman" w:hAnsi="Times New Roman" w:cs="Times New Roman"/>
                <w:sz w:val="18"/>
                <w:szCs w:val="18"/>
              </w:rPr>
              <w:t>:</w:t>
            </w:r>
          </w:p>
          <w:tbl>
            <w:tblPr>
              <w:tblStyle w:val="a3"/>
              <w:tblW w:w="0" w:type="auto"/>
              <w:tblLook w:val="04A0" w:firstRow="1" w:lastRow="0" w:firstColumn="1" w:lastColumn="0" w:noHBand="0" w:noVBand="1"/>
            </w:tblPr>
            <w:tblGrid>
              <w:gridCol w:w="1578"/>
              <w:gridCol w:w="1445"/>
            </w:tblGrid>
            <w:tr w:rsidR="00B76C79" w:rsidRPr="004C2278" w14:paraId="38DD1ED7" w14:textId="77777777" w:rsidTr="00B76C79">
              <w:tc>
                <w:tcPr>
                  <w:tcW w:w="1444" w:type="dxa"/>
                </w:tcPr>
                <w:p w14:paraId="4F23933A" w14:textId="737F5D92" w:rsidR="00B76C79" w:rsidRPr="004C2278" w:rsidRDefault="00B76C79">
                  <w:pPr>
                    <w:rPr>
                      <w:rFonts w:ascii="Times New Roman" w:hAnsi="Times New Roman" w:cs="Times New Roman"/>
                      <w:sz w:val="18"/>
                      <w:szCs w:val="18"/>
                    </w:rPr>
                  </w:pPr>
                  <w:r w:rsidRPr="004C2278">
                    <w:rPr>
                      <w:rFonts w:ascii="Times New Roman" w:hAnsi="Times New Roman" w:cs="Times New Roman"/>
                      <w:sz w:val="18"/>
                      <w:szCs w:val="18"/>
                    </w:rPr>
                    <w:t>Основной государственный регистрационный номер (ОГРН)</w:t>
                  </w:r>
                </w:p>
              </w:tc>
              <w:tc>
                <w:tcPr>
                  <w:tcW w:w="1445" w:type="dxa"/>
                </w:tcPr>
                <w:p w14:paraId="22D3F7FB" w14:textId="12B0C497" w:rsidR="00B76C79" w:rsidRPr="004C2278" w:rsidRDefault="00B76C79">
                  <w:pPr>
                    <w:rPr>
                      <w:rFonts w:ascii="Times New Roman" w:hAnsi="Times New Roman" w:cs="Times New Roman"/>
                      <w:sz w:val="18"/>
                      <w:szCs w:val="18"/>
                    </w:rPr>
                  </w:pPr>
                  <w:bookmarkStart w:id="2" w:name="_Hlk140507733"/>
                  <w:r w:rsidRPr="004C2278">
                    <w:rPr>
                      <w:rFonts w:ascii="Times New Roman" w:hAnsi="Times New Roman" w:cs="Times New Roman"/>
                      <w:sz w:val="18"/>
                      <w:szCs w:val="18"/>
                    </w:rPr>
                    <w:t>5067746340525</w:t>
                  </w:r>
                  <w:bookmarkEnd w:id="2"/>
                </w:p>
              </w:tc>
            </w:tr>
          </w:tbl>
          <w:p w14:paraId="37AAF6B7" w14:textId="51D81971" w:rsidR="00B76C79" w:rsidRPr="004C2278" w:rsidRDefault="00B76C79">
            <w:pPr>
              <w:rPr>
                <w:rFonts w:ascii="Times New Roman" w:hAnsi="Times New Roman" w:cs="Times New Roman"/>
                <w:sz w:val="18"/>
                <w:szCs w:val="18"/>
              </w:rPr>
            </w:pPr>
          </w:p>
        </w:tc>
        <w:tc>
          <w:tcPr>
            <w:tcW w:w="3563" w:type="dxa"/>
          </w:tcPr>
          <w:p w14:paraId="4B110EBF" w14:textId="0FD708E4"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Часть пункта 1.3.2</w:t>
            </w:r>
            <w:r w:rsidR="00355F33">
              <w:rPr>
                <w:rFonts w:ascii="Times New Roman" w:hAnsi="Times New Roman" w:cs="Times New Roman"/>
                <w:sz w:val="18"/>
                <w:szCs w:val="18"/>
              </w:rPr>
              <w:t>:</w:t>
            </w:r>
          </w:p>
          <w:tbl>
            <w:tblPr>
              <w:tblStyle w:val="a3"/>
              <w:tblW w:w="0" w:type="auto"/>
              <w:tblLook w:val="04A0" w:firstRow="1" w:lastRow="0" w:firstColumn="1" w:lastColumn="0" w:noHBand="0" w:noVBand="1"/>
            </w:tblPr>
            <w:tblGrid>
              <w:gridCol w:w="1578"/>
              <w:gridCol w:w="1445"/>
            </w:tblGrid>
            <w:tr w:rsidR="00B76C79" w:rsidRPr="004C2278" w14:paraId="145C04BB" w14:textId="77777777" w:rsidTr="00D04A2F">
              <w:tc>
                <w:tcPr>
                  <w:tcW w:w="1444" w:type="dxa"/>
                </w:tcPr>
                <w:p w14:paraId="686F8FE6" w14:textId="77777777"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Основной государственный регистрационный номер (ОГРН)</w:t>
                  </w:r>
                </w:p>
              </w:tc>
              <w:tc>
                <w:tcPr>
                  <w:tcW w:w="1445" w:type="dxa"/>
                </w:tcPr>
                <w:p w14:paraId="1AF06B95" w14:textId="7CB956E3"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1247700651307</w:t>
                  </w:r>
                </w:p>
              </w:tc>
            </w:tr>
          </w:tbl>
          <w:p w14:paraId="34C78CDE" w14:textId="77777777" w:rsidR="00E7337C" w:rsidRPr="004C2278" w:rsidRDefault="00E7337C">
            <w:pPr>
              <w:rPr>
                <w:rFonts w:ascii="Times New Roman" w:hAnsi="Times New Roman" w:cs="Times New Roman"/>
                <w:sz w:val="18"/>
                <w:szCs w:val="18"/>
              </w:rPr>
            </w:pPr>
          </w:p>
        </w:tc>
        <w:tc>
          <w:tcPr>
            <w:tcW w:w="2219" w:type="dxa"/>
          </w:tcPr>
          <w:p w14:paraId="6673F7F0" w14:textId="77777777" w:rsidR="00E7337C" w:rsidRPr="004C2278" w:rsidRDefault="00E7337C">
            <w:pPr>
              <w:rPr>
                <w:rFonts w:ascii="Times New Roman" w:hAnsi="Times New Roman" w:cs="Times New Roman"/>
              </w:rPr>
            </w:pPr>
          </w:p>
        </w:tc>
      </w:tr>
      <w:tr w:rsidR="00B76C79" w:rsidRPr="004C2278" w14:paraId="430FC3E9" w14:textId="77777777" w:rsidTr="004C2278">
        <w:tc>
          <w:tcPr>
            <w:tcW w:w="3563" w:type="dxa"/>
          </w:tcPr>
          <w:p w14:paraId="60A8A0D1" w14:textId="477CCB40"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Часть пункта 1.3.3</w:t>
            </w:r>
            <w:r w:rsidR="00355F33">
              <w:rPr>
                <w:rFonts w:ascii="Times New Roman" w:hAnsi="Times New Roman" w:cs="Times New Roman"/>
                <w:sz w:val="18"/>
                <w:szCs w:val="18"/>
              </w:rPr>
              <w:t>:</w:t>
            </w:r>
          </w:p>
          <w:tbl>
            <w:tblPr>
              <w:tblStyle w:val="a3"/>
              <w:tblW w:w="0" w:type="auto"/>
              <w:tblLook w:val="04A0" w:firstRow="1" w:lastRow="0" w:firstColumn="1" w:lastColumn="0" w:noHBand="0" w:noVBand="1"/>
            </w:tblPr>
            <w:tblGrid>
              <w:gridCol w:w="1862"/>
              <w:gridCol w:w="1445"/>
            </w:tblGrid>
            <w:tr w:rsidR="00B76C79" w:rsidRPr="004C2278" w14:paraId="1DE09061" w14:textId="77777777" w:rsidTr="00D04A2F">
              <w:tc>
                <w:tcPr>
                  <w:tcW w:w="1444" w:type="dxa"/>
                </w:tcPr>
                <w:p w14:paraId="402E4E17" w14:textId="7310A3E6"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Идентификационный номер налогоплательщика (ИНН)</w:t>
                  </w:r>
                </w:p>
              </w:tc>
              <w:tc>
                <w:tcPr>
                  <w:tcW w:w="1445" w:type="dxa"/>
                </w:tcPr>
                <w:p w14:paraId="4B768BDE" w14:textId="1699B2F1" w:rsidR="00B76C79" w:rsidRPr="004C2278" w:rsidRDefault="00B76C79" w:rsidP="00B76C79">
                  <w:pPr>
                    <w:rPr>
                      <w:rFonts w:ascii="Times New Roman" w:hAnsi="Times New Roman" w:cs="Times New Roman"/>
                      <w:sz w:val="18"/>
                      <w:szCs w:val="18"/>
                    </w:rPr>
                  </w:pPr>
                  <w:r w:rsidRPr="00203445">
                    <w:rPr>
                      <w:rFonts w:ascii="Times New Roman" w:hAnsi="Times New Roman" w:cs="Times New Roman"/>
                      <w:sz w:val="18"/>
                      <w:szCs w:val="18"/>
                    </w:rPr>
                    <w:t>7718599915</w:t>
                  </w:r>
                </w:p>
              </w:tc>
            </w:tr>
          </w:tbl>
          <w:p w14:paraId="15BB71BD" w14:textId="77777777" w:rsidR="00B76C79" w:rsidRPr="004C2278" w:rsidRDefault="00B76C79" w:rsidP="00B76C79">
            <w:pPr>
              <w:rPr>
                <w:rFonts w:ascii="Times New Roman" w:hAnsi="Times New Roman" w:cs="Times New Roman"/>
                <w:sz w:val="18"/>
                <w:szCs w:val="18"/>
              </w:rPr>
            </w:pPr>
          </w:p>
        </w:tc>
        <w:tc>
          <w:tcPr>
            <w:tcW w:w="3563" w:type="dxa"/>
          </w:tcPr>
          <w:p w14:paraId="4B0F8CB7" w14:textId="198E277A"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Часть пункта 1.3.3</w:t>
            </w:r>
            <w:r w:rsidR="00355F33">
              <w:rPr>
                <w:rFonts w:ascii="Times New Roman" w:hAnsi="Times New Roman" w:cs="Times New Roman"/>
                <w:sz w:val="18"/>
                <w:szCs w:val="18"/>
              </w:rPr>
              <w:t>:</w:t>
            </w:r>
          </w:p>
          <w:tbl>
            <w:tblPr>
              <w:tblStyle w:val="a3"/>
              <w:tblW w:w="0" w:type="auto"/>
              <w:tblLook w:val="04A0" w:firstRow="1" w:lastRow="0" w:firstColumn="1" w:lastColumn="0" w:noHBand="0" w:noVBand="1"/>
            </w:tblPr>
            <w:tblGrid>
              <w:gridCol w:w="1578"/>
              <w:gridCol w:w="1445"/>
            </w:tblGrid>
            <w:tr w:rsidR="00B76C79" w:rsidRPr="004C2278" w14:paraId="023EF32E" w14:textId="77777777" w:rsidTr="00D04A2F">
              <w:tc>
                <w:tcPr>
                  <w:tcW w:w="1444" w:type="dxa"/>
                </w:tcPr>
                <w:p w14:paraId="2E961A27" w14:textId="77777777"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Основной государственный регистрационный номер (ОГРН)</w:t>
                  </w:r>
                </w:p>
              </w:tc>
              <w:tc>
                <w:tcPr>
                  <w:tcW w:w="1445" w:type="dxa"/>
                </w:tcPr>
                <w:p w14:paraId="4F76238F" w14:textId="1135E952" w:rsidR="00B76C79" w:rsidRPr="004C2278" w:rsidRDefault="00B76C79" w:rsidP="00B76C79">
                  <w:pPr>
                    <w:rPr>
                      <w:rFonts w:ascii="Times New Roman" w:hAnsi="Times New Roman" w:cs="Times New Roman"/>
                      <w:sz w:val="18"/>
                      <w:szCs w:val="18"/>
                    </w:rPr>
                  </w:pPr>
                  <w:r w:rsidRPr="004C2278">
                    <w:rPr>
                      <w:rFonts w:ascii="Times New Roman" w:hAnsi="Times New Roman" w:cs="Times New Roman"/>
                      <w:sz w:val="18"/>
                      <w:szCs w:val="18"/>
                    </w:rPr>
                    <w:t>9703192084</w:t>
                  </w:r>
                </w:p>
              </w:tc>
            </w:tr>
          </w:tbl>
          <w:p w14:paraId="53072126" w14:textId="77777777" w:rsidR="00B76C79" w:rsidRPr="004C2278" w:rsidRDefault="00B76C79" w:rsidP="00B76C79">
            <w:pPr>
              <w:rPr>
                <w:rFonts w:ascii="Times New Roman" w:hAnsi="Times New Roman" w:cs="Times New Roman"/>
                <w:sz w:val="18"/>
                <w:szCs w:val="18"/>
              </w:rPr>
            </w:pPr>
          </w:p>
        </w:tc>
        <w:tc>
          <w:tcPr>
            <w:tcW w:w="2219" w:type="dxa"/>
          </w:tcPr>
          <w:p w14:paraId="538F7F34" w14:textId="77777777" w:rsidR="00B76C79" w:rsidRPr="004C2278" w:rsidRDefault="00B76C79" w:rsidP="00B76C79">
            <w:pPr>
              <w:rPr>
                <w:rFonts w:ascii="Times New Roman" w:hAnsi="Times New Roman" w:cs="Times New Roman"/>
              </w:rPr>
            </w:pPr>
          </w:p>
        </w:tc>
      </w:tr>
      <w:tr w:rsidR="00B76C79" w:rsidRPr="004C2278" w14:paraId="4467B38C" w14:textId="77777777" w:rsidTr="004C2278">
        <w:tc>
          <w:tcPr>
            <w:tcW w:w="3563" w:type="dxa"/>
          </w:tcPr>
          <w:p w14:paraId="07C539D2" w14:textId="7D8D22E5" w:rsidR="0008015D" w:rsidRPr="004C2278" w:rsidRDefault="00353C48" w:rsidP="0008015D">
            <w:pPr>
              <w:rPr>
                <w:rFonts w:ascii="Times New Roman" w:hAnsi="Times New Roman" w:cs="Times New Roman"/>
                <w:sz w:val="18"/>
                <w:szCs w:val="18"/>
              </w:rPr>
            </w:pPr>
            <w:r w:rsidRPr="004C2278">
              <w:rPr>
                <w:rFonts w:ascii="Times New Roman" w:hAnsi="Times New Roman" w:cs="Times New Roman"/>
                <w:sz w:val="18"/>
                <w:szCs w:val="18"/>
              </w:rPr>
              <w:t>П</w:t>
            </w:r>
            <w:r w:rsidR="0008015D" w:rsidRPr="004C2278">
              <w:rPr>
                <w:rFonts w:ascii="Times New Roman" w:hAnsi="Times New Roman" w:cs="Times New Roman"/>
                <w:sz w:val="18"/>
                <w:szCs w:val="18"/>
              </w:rPr>
              <w:t>ункт 1.3.5</w:t>
            </w:r>
            <w:r w:rsidR="00355F33">
              <w:rPr>
                <w:rFonts w:ascii="Times New Roman" w:hAnsi="Times New Roman" w:cs="Times New Roman"/>
                <w:sz w:val="18"/>
                <w:szCs w:val="18"/>
              </w:rPr>
              <w:t>:</w:t>
            </w:r>
          </w:p>
          <w:tbl>
            <w:tblPr>
              <w:tblStyle w:val="a3"/>
              <w:tblW w:w="0" w:type="auto"/>
              <w:tblLook w:val="04A0" w:firstRow="1" w:lastRow="0" w:firstColumn="1" w:lastColumn="0" w:noHBand="0" w:noVBand="1"/>
            </w:tblPr>
            <w:tblGrid>
              <w:gridCol w:w="1231"/>
              <w:gridCol w:w="2106"/>
            </w:tblGrid>
            <w:tr w:rsidR="00353C48" w:rsidRPr="004C2278" w14:paraId="234838D0" w14:textId="77777777" w:rsidTr="0087051E">
              <w:tc>
                <w:tcPr>
                  <w:tcW w:w="1496" w:type="dxa"/>
                  <w:vAlign w:val="center"/>
                </w:tcPr>
                <w:p w14:paraId="20B7E864" w14:textId="07F51207"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Фактический (почтовый) адрес</w:t>
                  </w:r>
                </w:p>
              </w:tc>
              <w:tc>
                <w:tcPr>
                  <w:tcW w:w="1497" w:type="dxa"/>
                  <w:vAlign w:val="center"/>
                </w:tcPr>
                <w:p w14:paraId="4A5B152D" w14:textId="5FC1400D"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 xml:space="preserve">115054, г. Москва, </w:t>
                  </w:r>
                  <w:proofErr w:type="spellStart"/>
                  <w:proofErr w:type="gramStart"/>
                  <w:r w:rsidRPr="004C2278">
                    <w:rPr>
                      <w:rFonts w:ascii="Times New Roman" w:hAnsi="Times New Roman" w:cs="Times New Roman"/>
                      <w:sz w:val="18"/>
                      <w:szCs w:val="18"/>
                    </w:rPr>
                    <w:t>вн.тер</w:t>
                  </w:r>
                  <w:proofErr w:type="gramEnd"/>
                  <w:r w:rsidRPr="004C2278">
                    <w:rPr>
                      <w:rFonts w:ascii="Times New Roman" w:hAnsi="Times New Roman" w:cs="Times New Roman"/>
                      <w:sz w:val="18"/>
                      <w:szCs w:val="18"/>
                    </w:rPr>
                    <w:t>.г.муниципальный</w:t>
                  </w:r>
                  <w:proofErr w:type="spellEnd"/>
                  <w:r w:rsidRPr="004C2278">
                    <w:rPr>
                      <w:rFonts w:ascii="Times New Roman" w:hAnsi="Times New Roman" w:cs="Times New Roman"/>
                      <w:sz w:val="18"/>
                      <w:szCs w:val="18"/>
                    </w:rPr>
                    <w:t xml:space="preserve"> округ Замоскворечье, </w:t>
                  </w:r>
                  <w:proofErr w:type="spellStart"/>
                  <w:r w:rsidRPr="004C2278">
                    <w:rPr>
                      <w:rFonts w:ascii="Times New Roman" w:hAnsi="Times New Roman" w:cs="Times New Roman"/>
                      <w:sz w:val="18"/>
                      <w:szCs w:val="18"/>
                    </w:rPr>
                    <w:t>Космодамианская</w:t>
                  </w:r>
                  <w:proofErr w:type="spellEnd"/>
                  <w:r w:rsidRPr="004C2278">
                    <w:rPr>
                      <w:rFonts w:ascii="Times New Roman" w:hAnsi="Times New Roman" w:cs="Times New Roman"/>
                      <w:sz w:val="18"/>
                      <w:szCs w:val="18"/>
                    </w:rPr>
                    <w:t xml:space="preserve"> наб., д. 52, стр. 1, этаж 7, </w:t>
                  </w:r>
                  <w:proofErr w:type="spellStart"/>
                  <w:r w:rsidRPr="004C2278">
                    <w:rPr>
                      <w:rFonts w:ascii="Times New Roman" w:hAnsi="Times New Roman" w:cs="Times New Roman"/>
                      <w:sz w:val="18"/>
                      <w:szCs w:val="18"/>
                    </w:rPr>
                    <w:t>помещ</w:t>
                  </w:r>
                  <w:proofErr w:type="spellEnd"/>
                  <w:r w:rsidRPr="004C2278">
                    <w:rPr>
                      <w:rFonts w:ascii="Times New Roman" w:hAnsi="Times New Roman" w:cs="Times New Roman"/>
                      <w:sz w:val="18"/>
                      <w:szCs w:val="18"/>
                    </w:rPr>
                    <w:t>. 702</w:t>
                  </w:r>
                </w:p>
              </w:tc>
            </w:tr>
            <w:tr w:rsidR="00353C48" w:rsidRPr="004C2278" w14:paraId="45564886" w14:textId="77777777" w:rsidTr="0087051E">
              <w:tc>
                <w:tcPr>
                  <w:tcW w:w="1496" w:type="dxa"/>
                  <w:vAlign w:val="center"/>
                </w:tcPr>
                <w:p w14:paraId="24B858C2" w14:textId="13C324B1"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Телефон</w:t>
                  </w:r>
                </w:p>
              </w:tc>
              <w:tc>
                <w:tcPr>
                  <w:tcW w:w="1497" w:type="dxa"/>
                  <w:vAlign w:val="center"/>
                </w:tcPr>
                <w:p w14:paraId="4F31D21B" w14:textId="40635857"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+7 (495) 105 82 00</w:t>
                  </w:r>
                </w:p>
              </w:tc>
            </w:tr>
            <w:tr w:rsidR="00353C48" w:rsidRPr="004C2278" w14:paraId="5ADFDD29" w14:textId="77777777" w:rsidTr="0087051E">
              <w:tc>
                <w:tcPr>
                  <w:tcW w:w="1496" w:type="dxa"/>
                  <w:vAlign w:val="center"/>
                </w:tcPr>
                <w:p w14:paraId="1A291A0B" w14:textId="3E40EABB"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Факс</w:t>
                  </w:r>
                </w:p>
              </w:tc>
              <w:tc>
                <w:tcPr>
                  <w:tcW w:w="1497" w:type="dxa"/>
                  <w:vAlign w:val="center"/>
                </w:tcPr>
                <w:p w14:paraId="35D8D7E9" w14:textId="5B79DBB4"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+7(495)105 82 00</w:t>
                  </w:r>
                </w:p>
              </w:tc>
            </w:tr>
            <w:tr w:rsidR="00353C48" w:rsidRPr="004C2278" w14:paraId="201BC2BD" w14:textId="77777777" w:rsidTr="0087051E">
              <w:tc>
                <w:tcPr>
                  <w:tcW w:w="1496" w:type="dxa"/>
                  <w:vAlign w:val="center"/>
                </w:tcPr>
                <w:p w14:paraId="59344DBA" w14:textId="6CEE6513"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Адрес электронной почты Компании для Сообщений</w:t>
                  </w:r>
                </w:p>
              </w:tc>
              <w:tc>
                <w:tcPr>
                  <w:tcW w:w="1497" w:type="dxa"/>
                  <w:vAlign w:val="center"/>
                </w:tcPr>
                <w:p w14:paraId="4696BE9F" w14:textId="10A87E32" w:rsidR="00353C48" w:rsidRPr="004C2278" w:rsidRDefault="00653143" w:rsidP="00353C48">
                  <w:pPr>
                    <w:rPr>
                      <w:rFonts w:ascii="Times New Roman" w:hAnsi="Times New Roman" w:cs="Times New Roman"/>
                      <w:sz w:val="18"/>
                      <w:szCs w:val="18"/>
                    </w:rPr>
                  </w:pPr>
                  <w:hyperlink r:id="rId5" w:history="1">
                    <w:r w:rsidR="00353C48" w:rsidRPr="004C2278">
                      <w:rPr>
                        <w:rStyle w:val="a4"/>
                        <w:rFonts w:ascii="Times New Roman" w:hAnsi="Times New Roman" w:cs="Times New Roman"/>
                        <w:sz w:val="18"/>
                        <w:szCs w:val="18"/>
                        <w:lang w:val="en-US"/>
                      </w:rPr>
                      <w:t>clients</w:t>
                    </w:r>
                    <w:r w:rsidR="00353C48" w:rsidRPr="004C2278">
                      <w:rPr>
                        <w:rStyle w:val="a4"/>
                        <w:rFonts w:ascii="Times New Roman" w:hAnsi="Times New Roman" w:cs="Times New Roman"/>
                        <w:sz w:val="18"/>
                        <w:szCs w:val="18"/>
                      </w:rPr>
                      <w:t>@</w:t>
                    </w:r>
                    <w:proofErr w:type="spellStart"/>
                    <w:r w:rsidR="00353C48" w:rsidRPr="004C2278">
                      <w:rPr>
                        <w:rStyle w:val="a4"/>
                        <w:rFonts w:ascii="Times New Roman" w:hAnsi="Times New Roman" w:cs="Times New Roman"/>
                        <w:sz w:val="18"/>
                        <w:szCs w:val="18"/>
                        <w:lang w:val="en-US"/>
                      </w:rPr>
                      <w:t>ukhorizon</w:t>
                    </w:r>
                    <w:proofErr w:type="spellEnd"/>
                    <w:r w:rsidR="00353C48" w:rsidRPr="004C2278">
                      <w:rPr>
                        <w:rStyle w:val="a4"/>
                        <w:rFonts w:ascii="Times New Roman" w:hAnsi="Times New Roman" w:cs="Times New Roman"/>
                        <w:sz w:val="18"/>
                        <w:szCs w:val="18"/>
                      </w:rPr>
                      <w:t>.</w:t>
                    </w:r>
                    <w:proofErr w:type="spellStart"/>
                    <w:r w:rsidR="00353C48" w:rsidRPr="004C2278">
                      <w:rPr>
                        <w:rStyle w:val="a4"/>
                        <w:rFonts w:ascii="Times New Roman" w:hAnsi="Times New Roman" w:cs="Times New Roman"/>
                        <w:sz w:val="18"/>
                        <w:szCs w:val="18"/>
                      </w:rPr>
                      <w:t>ru</w:t>
                    </w:r>
                    <w:proofErr w:type="spellEnd"/>
                  </w:hyperlink>
                </w:p>
              </w:tc>
            </w:tr>
            <w:tr w:rsidR="00353C48" w:rsidRPr="004C2278" w14:paraId="752D5690" w14:textId="77777777" w:rsidTr="0087051E">
              <w:tc>
                <w:tcPr>
                  <w:tcW w:w="1496" w:type="dxa"/>
                  <w:vAlign w:val="center"/>
                </w:tcPr>
                <w:p w14:paraId="640A927E" w14:textId="2AFDF40B"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Адрес электронной почты Компании для отправки отчетов</w:t>
                  </w:r>
                </w:p>
              </w:tc>
              <w:tc>
                <w:tcPr>
                  <w:tcW w:w="1497" w:type="dxa"/>
                  <w:vAlign w:val="center"/>
                </w:tcPr>
                <w:p w14:paraId="04A2D0B5" w14:textId="6B882675" w:rsidR="00353C48" w:rsidRPr="004C2278" w:rsidRDefault="00653143" w:rsidP="00353C48">
                  <w:pPr>
                    <w:rPr>
                      <w:rFonts w:ascii="Times New Roman" w:hAnsi="Times New Roman" w:cs="Times New Roman"/>
                      <w:sz w:val="18"/>
                      <w:szCs w:val="18"/>
                    </w:rPr>
                  </w:pPr>
                  <w:hyperlink r:id="rId6" w:history="1">
                    <w:r w:rsidR="00353C48" w:rsidRPr="004C2278">
                      <w:rPr>
                        <w:rStyle w:val="a4"/>
                        <w:rFonts w:ascii="Times New Roman" w:hAnsi="Times New Roman" w:cs="Times New Roman"/>
                        <w:sz w:val="18"/>
                        <w:szCs w:val="18"/>
                        <w:lang w:val="en-US"/>
                      </w:rPr>
                      <w:t>clients</w:t>
                    </w:r>
                    <w:r w:rsidR="00353C48" w:rsidRPr="004C2278">
                      <w:rPr>
                        <w:rStyle w:val="a4"/>
                        <w:rFonts w:ascii="Times New Roman" w:hAnsi="Times New Roman" w:cs="Times New Roman"/>
                        <w:sz w:val="18"/>
                        <w:szCs w:val="18"/>
                      </w:rPr>
                      <w:t>@</w:t>
                    </w:r>
                    <w:proofErr w:type="spellStart"/>
                    <w:r w:rsidR="00353C48" w:rsidRPr="004C2278">
                      <w:rPr>
                        <w:rStyle w:val="a4"/>
                        <w:rFonts w:ascii="Times New Roman" w:hAnsi="Times New Roman" w:cs="Times New Roman"/>
                        <w:sz w:val="18"/>
                        <w:szCs w:val="18"/>
                        <w:lang w:val="en-US"/>
                      </w:rPr>
                      <w:t>ukhorizon</w:t>
                    </w:r>
                    <w:proofErr w:type="spellEnd"/>
                    <w:r w:rsidR="00353C48" w:rsidRPr="004C2278">
                      <w:rPr>
                        <w:rStyle w:val="a4"/>
                        <w:rFonts w:ascii="Times New Roman" w:hAnsi="Times New Roman" w:cs="Times New Roman"/>
                        <w:sz w:val="18"/>
                        <w:szCs w:val="18"/>
                      </w:rPr>
                      <w:t>.</w:t>
                    </w:r>
                    <w:proofErr w:type="spellStart"/>
                    <w:r w:rsidR="00353C48" w:rsidRPr="004C2278">
                      <w:rPr>
                        <w:rStyle w:val="a4"/>
                        <w:rFonts w:ascii="Times New Roman" w:hAnsi="Times New Roman" w:cs="Times New Roman"/>
                        <w:sz w:val="18"/>
                        <w:szCs w:val="18"/>
                      </w:rPr>
                      <w:t>ru</w:t>
                    </w:r>
                    <w:proofErr w:type="spellEnd"/>
                  </w:hyperlink>
                </w:p>
              </w:tc>
            </w:tr>
          </w:tbl>
          <w:p w14:paraId="4EDB8933" w14:textId="77777777" w:rsidR="00B76C79" w:rsidRPr="004C2278" w:rsidRDefault="00B76C79" w:rsidP="00B76C79">
            <w:pPr>
              <w:rPr>
                <w:rFonts w:ascii="Times New Roman" w:hAnsi="Times New Roman" w:cs="Times New Roman"/>
                <w:sz w:val="18"/>
                <w:szCs w:val="18"/>
              </w:rPr>
            </w:pPr>
          </w:p>
        </w:tc>
        <w:tc>
          <w:tcPr>
            <w:tcW w:w="3563" w:type="dxa"/>
          </w:tcPr>
          <w:p w14:paraId="3FD3EC7B" w14:textId="2A80B882" w:rsidR="00353C48" w:rsidRPr="004C2278" w:rsidRDefault="00353C48" w:rsidP="00353C48">
            <w:pPr>
              <w:rPr>
                <w:rFonts w:ascii="Times New Roman" w:hAnsi="Times New Roman" w:cs="Times New Roman"/>
                <w:sz w:val="18"/>
                <w:szCs w:val="18"/>
              </w:rPr>
            </w:pPr>
            <w:r w:rsidRPr="004C2278">
              <w:rPr>
                <w:rFonts w:ascii="Times New Roman" w:hAnsi="Times New Roman" w:cs="Times New Roman"/>
                <w:sz w:val="18"/>
                <w:szCs w:val="18"/>
              </w:rPr>
              <w:t>Пункт 1.3.5</w:t>
            </w:r>
            <w:r w:rsidR="00355F33">
              <w:rPr>
                <w:rFonts w:ascii="Times New Roman" w:hAnsi="Times New Roman" w:cs="Times New Roman"/>
                <w:sz w:val="18"/>
                <w:szCs w:val="18"/>
              </w:rPr>
              <w:t>:</w:t>
            </w:r>
          </w:p>
          <w:tbl>
            <w:tblPr>
              <w:tblStyle w:val="a3"/>
              <w:tblW w:w="0" w:type="auto"/>
              <w:tblLook w:val="04A0" w:firstRow="1" w:lastRow="0" w:firstColumn="1" w:lastColumn="0" w:noHBand="0" w:noVBand="1"/>
            </w:tblPr>
            <w:tblGrid>
              <w:gridCol w:w="1231"/>
              <w:gridCol w:w="2106"/>
            </w:tblGrid>
            <w:tr w:rsidR="00B978A2" w:rsidRPr="004C2278" w14:paraId="3B681E2B" w14:textId="77777777" w:rsidTr="00B978A2">
              <w:tc>
                <w:tcPr>
                  <w:tcW w:w="1207" w:type="dxa"/>
                  <w:vAlign w:val="center"/>
                </w:tcPr>
                <w:p w14:paraId="40240CB1" w14:textId="3EB00D0A"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Фактический (почтовый) адрес</w:t>
                  </w:r>
                </w:p>
              </w:tc>
              <w:tc>
                <w:tcPr>
                  <w:tcW w:w="2113" w:type="dxa"/>
                  <w:vAlign w:val="center"/>
                </w:tcPr>
                <w:p w14:paraId="4207AC41" w14:textId="02F10942"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 xml:space="preserve">123112, г. Москва, </w:t>
                  </w:r>
                  <w:proofErr w:type="spellStart"/>
                  <w:proofErr w:type="gramStart"/>
                  <w:r w:rsidRPr="004C2278">
                    <w:rPr>
                      <w:rFonts w:ascii="Times New Roman" w:hAnsi="Times New Roman" w:cs="Times New Roman"/>
                      <w:sz w:val="18"/>
                      <w:szCs w:val="18"/>
                    </w:rPr>
                    <w:t>вн.тер</w:t>
                  </w:r>
                  <w:proofErr w:type="gramEnd"/>
                  <w:r w:rsidRPr="004C2278">
                    <w:rPr>
                      <w:rFonts w:ascii="Times New Roman" w:hAnsi="Times New Roman" w:cs="Times New Roman"/>
                      <w:sz w:val="18"/>
                      <w:szCs w:val="18"/>
                    </w:rPr>
                    <w:t>.г.муниципальный</w:t>
                  </w:r>
                  <w:proofErr w:type="spellEnd"/>
                  <w:r w:rsidRPr="004C2278">
                    <w:rPr>
                      <w:rFonts w:ascii="Times New Roman" w:hAnsi="Times New Roman" w:cs="Times New Roman"/>
                      <w:sz w:val="18"/>
                      <w:szCs w:val="18"/>
                    </w:rPr>
                    <w:t xml:space="preserve"> округ Пресненский, </w:t>
                  </w:r>
                  <w:proofErr w:type="spellStart"/>
                  <w:r w:rsidRPr="004C2278">
                    <w:rPr>
                      <w:rFonts w:ascii="Times New Roman" w:hAnsi="Times New Roman" w:cs="Times New Roman"/>
                      <w:sz w:val="18"/>
                      <w:szCs w:val="18"/>
                    </w:rPr>
                    <w:t>наб.Пресненская</w:t>
                  </w:r>
                  <w:proofErr w:type="spellEnd"/>
                  <w:r w:rsidRPr="004C2278">
                    <w:rPr>
                      <w:rFonts w:ascii="Times New Roman" w:hAnsi="Times New Roman" w:cs="Times New Roman"/>
                      <w:sz w:val="18"/>
                      <w:szCs w:val="18"/>
                    </w:rPr>
                    <w:t xml:space="preserve">, д. 6, стр. 2, этаж 52, </w:t>
                  </w:r>
                  <w:proofErr w:type="spellStart"/>
                  <w:r w:rsidRPr="004C2278">
                    <w:rPr>
                      <w:rFonts w:ascii="Times New Roman" w:hAnsi="Times New Roman" w:cs="Times New Roman"/>
                      <w:sz w:val="18"/>
                      <w:szCs w:val="18"/>
                    </w:rPr>
                    <w:t>помещ</w:t>
                  </w:r>
                  <w:proofErr w:type="spellEnd"/>
                  <w:r w:rsidRPr="004C2278">
                    <w:rPr>
                      <w:rFonts w:ascii="Times New Roman" w:hAnsi="Times New Roman" w:cs="Times New Roman"/>
                      <w:sz w:val="18"/>
                      <w:szCs w:val="18"/>
                    </w:rPr>
                    <w:t>. 5209</w:t>
                  </w:r>
                </w:p>
              </w:tc>
            </w:tr>
            <w:tr w:rsidR="00B978A2" w:rsidRPr="004C2278" w14:paraId="1EA509DD" w14:textId="77777777" w:rsidTr="00B978A2">
              <w:tc>
                <w:tcPr>
                  <w:tcW w:w="1207" w:type="dxa"/>
                  <w:vAlign w:val="center"/>
                </w:tcPr>
                <w:p w14:paraId="245A2852" w14:textId="73FCED88"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Телефон</w:t>
                  </w:r>
                </w:p>
              </w:tc>
              <w:tc>
                <w:tcPr>
                  <w:tcW w:w="2113" w:type="dxa"/>
                  <w:vAlign w:val="center"/>
                </w:tcPr>
                <w:p w14:paraId="31C99D51" w14:textId="49318254"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+7 (495) 105 82 00</w:t>
                  </w:r>
                </w:p>
              </w:tc>
            </w:tr>
            <w:tr w:rsidR="00B978A2" w:rsidRPr="004C2278" w14:paraId="54A684A9" w14:textId="77777777" w:rsidTr="00B978A2">
              <w:tc>
                <w:tcPr>
                  <w:tcW w:w="1207" w:type="dxa"/>
                  <w:vAlign w:val="center"/>
                </w:tcPr>
                <w:p w14:paraId="3C782A2B" w14:textId="6A3CAEF5"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Адрес электронной почты Компании для Сообщений</w:t>
                  </w:r>
                </w:p>
              </w:tc>
              <w:tc>
                <w:tcPr>
                  <w:tcW w:w="2113" w:type="dxa"/>
                  <w:vAlign w:val="center"/>
                </w:tcPr>
                <w:p w14:paraId="68F68704" w14:textId="3510E830" w:rsidR="00B978A2" w:rsidRPr="004C2278" w:rsidRDefault="00653143" w:rsidP="00B978A2">
                  <w:pPr>
                    <w:rPr>
                      <w:rFonts w:ascii="Times New Roman" w:hAnsi="Times New Roman" w:cs="Times New Roman"/>
                      <w:sz w:val="18"/>
                      <w:szCs w:val="18"/>
                    </w:rPr>
                  </w:pPr>
                  <w:hyperlink r:id="rId7" w:history="1">
                    <w:r w:rsidR="00B978A2" w:rsidRPr="004C2278">
                      <w:rPr>
                        <w:rStyle w:val="a4"/>
                        <w:rFonts w:ascii="Times New Roman" w:hAnsi="Times New Roman" w:cs="Times New Roman"/>
                        <w:sz w:val="18"/>
                        <w:szCs w:val="18"/>
                        <w:lang w:val="en-US"/>
                      </w:rPr>
                      <w:t>clients</w:t>
                    </w:r>
                    <w:r w:rsidR="00B978A2" w:rsidRPr="004C2278">
                      <w:rPr>
                        <w:rStyle w:val="a4"/>
                        <w:rFonts w:ascii="Times New Roman" w:hAnsi="Times New Roman" w:cs="Times New Roman"/>
                        <w:sz w:val="18"/>
                        <w:szCs w:val="18"/>
                      </w:rPr>
                      <w:t>@</w:t>
                    </w:r>
                    <w:proofErr w:type="spellStart"/>
                    <w:r w:rsidR="00B978A2" w:rsidRPr="004C2278">
                      <w:rPr>
                        <w:rStyle w:val="a4"/>
                        <w:rFonts w:ascii="Times New Roman" w:hAnsi="Times New Roman" w:cs="Times New Roman"/>
                        <w:sz w:val="18"/>
                        <w:szCs w:val="18"/>
                        <w:lang w:val="en-US"/>
                      </w:rPr>
                      <w:t>ikhorizon</w:t>
                    </w:r>
                    <w:proofErr w:type="spellEnd"/>
                    <w:r w:rsidR="00B978A2" w:rsidRPr="004C2278">
                      <w:rPr>
                        <w:rStyle w:val="a4"/>
                        <w:rFonts w:ascii="Times New Roman" w:hAnsi="Times New Roman" w:cs="Times New Roman"/>
                        <w:sz w:val="18"/>
                        <w:szCs w:val="18"/>
                      </w:rPr>
                      <w:t>.</w:t>
                    </w:r>
                    <w:proofErr w:type="spellStart"/>
                    <w:r w:rsidR="00B978A2" w:rsidRPr="004C2278">
                      <w:rPr>
                        <w:rStyle w:val="a4"/>
                        <w:rFonts w:ascii="Times New Roman" w:hAnsi="Times New Roman" w:cs="Times New Roman"/>
                        <w:sz w:val="18"/>
                        <w:szCs w:val="18"/>
                      </w:rPr>
                      <w:t>ru</w:t>
                    </w:r>
                    <w:proofErr w:type="spellEnd"/>
                  </w:hyperlink>
                  <w:r w:rsidR="00B978A2" w:rsidRPr="004C2278">
                    <w:rPr>
                      <w:rStyle w:val="a4"/>
                      <w:rFonts w:ascii="Times New Roman" w:hAnsi="Times New Roman" w:cs="Times New Roman"/>
                      <w:sz w:val="18"/>
                      <w:szCs w:val="18"/>
                    </w:rPr>
                    <w:t xml:space="preserve"> </w:t>
                  </w:r>
                </w:p>
              </w:tc>
            </w:tr>
            <w:tr w:rsidR="00B978A2" w:rsidRPr="004C2278" w14:paraId="443FEC4D" w14:textId="77777777" w:rsidTr="00B978A2">
              <w:tc>
                <w:tcPr>
                  <w:tcW w:w="1207" w:type="dxa"/>
                  <w:vAlign w:val="center"/>
                </w:tcPr>
                <w:p w14:paraId="133C29EE" w14:textId="64A84497"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Адрес электронной почты Компании для отправки отчетов</w:t>
                  </w:r>
                </w:p>
              </w:tc>
              <w:tc>
                <w:tcPr>
                  <w:tcW w:w="2113" w:type="dxa"/>
                  <w:vAlign w:val="center"/>
                </w:tcPr>
                <w:p w14:paraId="06213D79" w14:textId="265C35D1" w:rsidR="00B978A2" w:rsidRPr="004C2278" w:rsidRDefault="00653143" w:rsidP="00B978A2">
                  <w:pPr>
                    <w:rPr>
                      <w:rFonts w:ascii="Times New Roman" w:hAnsi="Times New Roman" w:cs="Times New Roman"/>
                      <w:sz w:val="18"/>
                      <w:szCs w:val="18"/>
                    </w:rPr>
                  </w:pPr>
                  <w:hyperlink r:id="rId8" w:history="1">
                    <w:r w:rsidR="00B978A2" w:rsidRPr="004C2278">
                      <w:rPr>
                        <w:rStyle w:val="a4"/>
                        <w:rFonts w:ascii="Times New Roman" w:hAnsi="Times New Roman" w:cs="Times New Roman"/>
                        <w:sz w:val="18"/>
                        <w:szCs w:val="18"/>
                        <w:lang w:val="en-US"/>
                      </w:rPr>
                      <w:t>bo</w:t>
                    </w:r>
                    <w:r w:rsidR="00B978A2" w:rsidRPr="004C2278">
                      <w:rPr>
                        <w:rStyle w:val="a4"/>
                        <w:rFonts w:ascii="Times New Roman" w:hAnsi="Times New Roman" w:cs="Times New Roman"/>
                        <w:sz w:val="18"/>
                        <w:szCs w:val="18"/>
                      </w:rPr>
                      <w:t>@</w:t>
                    </w:r>
                    <w:r w:rsidR="00B978A2" w:rsidRPr="004C2278">
                      <w:rPr>
                        <w:rStyle w:val="a4"/>
                        <w:rFonts w:ascii="Times New Roman" w:hAnsi="Times New Roman" w:cs="Times New Roman"/>
                        <w:sz w:val="18"/>
                        <w:szCs w:val="18"/>
                        <w:lang w:val="en-US"/>
                      </w:rPr>
                      <w:t>ikhorizon</w:t>
                    </w:r>
                    <w:r w:rsidR="00B978A2" w:rsidRPr="004C2278">
                      <w:rPr>
                        <w:rStyle w:val="a4"/>
                        <w:rFonts w:ascii="Times New Roman" w:hAnsi="Times New Roman" w:cs="Times New Roman"/>
                        <w:sz w:val="18"/>
                        <w:szCs w:val="18"/>
                      </w:rPr>
                      <w:t>.ru</w:t>
                    </w:r>
                  </w:hyperlink>
                  <w:r w:rsidR="00B978A2" w:rsidRPr="004C2278">
                    <w:rPr>
                      <w:rFonts w:ascii="Times New Roman" w:hAnsi="Times New Roman" w:cs="Times New Roman"/>
                      <w:sz w:val="18"/>
                      <w:szCs w:val="18"/>
                    </w:rPr>
                    <w:t xml:space="preserve"> </w:t>
                  </w:r>
                </w:p>
              </w:tc>
            </w:tr>
          </w:tbl>
          <w:p w14:paraId="572B5546" w14:textId="77777777" w:rsidR="00B76C79" w:rsidRPr="004C2278" w:rsidRDefault="00B76C79" w:rsidP="00B76C79">
            <w:pPr>
              <w:rPr>
                <w:rFonts w:ascii="Times New Roman" w:hAnsi="Times New Roman" w:cs="Times New Roman"/>
                <w:sz w:val="18"/>
                <w:szCs w:val="18"/>
              </w:rPr>
            </w:pPr>
          </w:p>
        </w:tc>
        <w:tc>
          <w:tcPr>
            <w:tcW w:w="2219" w:type="dxa"/>
          </w:tcPr>
          <w:p w14:paraId="34733FEA" w14:textId="77777777" w:rsidR="00B76C79" w:rsidRPr="004C2278" w:rsidRDefault="00B76C79" w:rsidP="00B76C79">
            <w:pPr>
              <w:rPr>
                <w:rFonts w:ascii="Times New Roman" w:hAnsi="Times New Roman" w:cs="Times New Roman"/>
              </w:rPr>
            </w:pPr>
          </w:p>
        </w:tc>
      </w:tr>
      <w:tr w:rsidR="00B978A2" w:rsidRPr="004C2278" w14:paraId="45E4BC19" w14:textId="77777777" w:rsidTr="004C2278">
        <w:tc>
          <w:tcPr>
            <w:tcW w:w="3563" w:type="dxa"/>
          </w:tcPr>
          <w:p w14:paraId="552EDA58" w14:textId="27331CE2"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Часть пункта 1.4.1</w:t>
            </w:r>
            <w:r w:rsidR="00355F33">
              <w:rPr>
                <w:rFonts w:ascii="Times New Roman" w:hAnsi="Times New Roman" w:cs="Times New Roman"/>
                <w:sz w:val="18"/>
                <w:szCs w:val="18"/>
              </w:rPr>
              <w:t>:</w:t>
            </w:r>
          </w:p>
          <w:p w14:paraId="06912DC2" w14:textId="76933377"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b/>
                <w:sz w:val="18"/>
                <w:szCs w:val="18"/>
              </w:rPr>
              <w:t xml:space="preserve">Индивидуальный инвестиционный счет - </w:t>
            </w:r>
            <w:r w:rsidRPr="004C2278">
              <w:rPr>
                <w:rFonts w:ascii="Times New Roman" w:hAnsi="Times New Roman" w:cs="Times New Roman"/>
                <w:sz w:val="18"/>
                <w:szCs w:val="18"/>
              </w:rPr>
              <w:t>счет внутреннего учета, который предназначен для обособленного учета денежных средств, ценных бумаг Клиента – физического лица, обязательств по договорам, заключенным за счет указанного клиента и который открывается и ведется в соответствии с требованиями законодательства, условиями настоящего Регламента и Договора о брокерском обслуживании, предусматривающего открытие и ведение индивидуального инвестиционного счета. Операции и сделки с драгоценными металлами в рамках индивидуального инвестиционного счета Клиента Компанией не осуществляются;</w:t>
            </w:r>
          </w:p>
        </w:tc>
        <w:tc>
          <w:tcPr>
            <w:tcW w:w="3563" w:type="dxa"/>
          </w:tcPr>
          <w:p w14:paraId="5A5CB18E" w14:textId="6EE7D2C8" w:rsidR="00B978A2" w:rsidRPr="004C2278" w:rsidRDefault="00B978A2" w:rsidP="00B978A2">
            <w:pPr>
              <w:rPr>
                <w:rFonts w:ascii="Times New Roman" w:hAnsi="Times New Roman" w:cs="Times New Roman"/>
                <w:sz w:val="18"/>
                <w:szCs w:val="18"/>
              </w:rPr>
            </w:pPr>
            <w:r w:rsidRPr="004C2278">
              <w:rPr>
                <w:rFonts w:ascii="Times New Roman" w:hAnsi="Times New Roman" w:cs="Times New Roman"/>
                <w:sz w:val="18"/>
                <w:szCs w:val="18"/>
              </w:rPr>
              <w:t>Часть пункта 1.4.1</w:t>
            </w:r>
            <w:r w:rsidR="00355F33">
              <w:rPr>
                <w:rFonts w:ascii="Times New Roman" w:hAnsi="Times New Roman" w:cs="Times New Roman"/>
                <w:sz w:val="18"/>
                <w:szCs w:val="18"/>
              </w:rPr>
              <w:t>:</w:t>
            </w:r>
          </w:p>
          <w:p w14:paraId="0A95276C" w14:textId="45B50ACE"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b/>
                <w:sz w:val="18"/>
                <w:szCs w:val="18"/>
              </w:rPr>
              <w:t xml:space="preserve">Индивидуальный инвестиционный счет - </w:t>
            </w:r>
            <w:r w:rsidRPr="004C2278">
              <w:rPr>
                <w:rFonts w:ascii="Times New Roman" w:hAnsi="Times New Roman" w:cs="Times New Roman"/>
                <w:sz w:val="18"/>
                <w:szCs w:val="18"/>
              </w:rPr>
              <w:t>счет внутреннего учета, который предназначен для обособленного учета денежных средств, драгоценных металлов, ценных бумаг Клиента – физического лица, обязательств по договорам, заключенным за счет указанного клиента и который открывается и ведется в соответствии с требованиями законодательства, условиями настоящего Регламента и Договора о брокерском обслуживании, предусматривающего открытие и ведение индивидуального инвестиционного счета;</w:t>
            </w:r>
          </w:p>
        </w:tc>
        <w:tc>
          <w:tcPr>
            <w:tcW w:w="2219" w:type="dxa"/>
          </w:tcPr>
          <w:p w14:paraId="171619B4" w14:textId="77777777" w:rsidR="00B978A2" w:rsidRPr="004C2278" w:rsidRDefault="00B978A2" w:rsidP="00B978A2">
            <w:pPr>
              <w:rPr>
                <w:rFonts w:ascii="Times New Roman" w:hAnsi="Times New Roman" w:cs="Times New Roman"/>
              </w:rPr>
            </w:pPr>
          </w:p>
        </w:tc>
      </w:tr>
      <w:tr w:rsidR="00B978A2" w:rsidRPr="004C2278" w14:paraId="16D0938A" w14:textId="77777777" w:rsidTr="004C2278">
        <w:tc>
          <w:tcPr>
            <w:tcW w:w="3563" w:type="dxa"/>
          </w:tcPr>
          <w:p w14:paraId="7C1507B1" w14:textId="4E8E23D6"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1.4.1</w:t>
            </w:r>
            <w:r w:rsidR="00355F33">
              <w:rPr>
                <w:rFonts w:ascii="Times New Roman" w:hAnsi="Times New Roman" w:cs="Times New Roman"/>
                <w:sz w:val="18"/>
                <w:szCs w:val="18"/>
              </w:rPr>
              <w:t>:</w:t>
            </w:r>
          </w:p>
          <w:p w14:paraId="36761F87" w14:textId="6B7790E3"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Портфель, в который входят векселя, а также денежные средства Клиента, предназначенные для совершения сделок с векселями, обязательства из сделок с векселями, совершенные в соответствии с </w:t>
            </w:r>
            <w:r w:rsidRPr="004C2278">
              <w:rPr>
                <w:rFonts w:ascii="Times New Roman" w:hAnsi="Times New Roman" w:cs="Times New Roman"/>
                <w:sz w:val="18"/>
                <w:szCs w:val="18"/>
              </w:rPr>
              <w:lastRenderedPageBreak/>
              <w:t>заключенным с Клиентом Договором о брокерском обслуживании, а также задолженность Клиента перед Компанией, возникшая в результате совершения сделок с векселями (Вексельный портфель);</w:t>
            </w:r>
          </w:p>
        </w:tc>
        <w:tc>
          <w:tcPr>
            <w:tcW w:w="3563" w:type="dxa"/>
          </w:tcPr>
          <w:p w14:paraId="01D3D633" w14:textId="3E01B936"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lastRenderedPageBreak/>
              <w:t>Часть пункта 1.4.1</w:t>
            </w:r>
            <w:r w:rsidR="00355F33">
              <w:rPr>
                <w:rFonts w:ascii="Times New Roman" w:hAnsi="Times New Roman" w:cs="Times New Roman"/>
                <w:sz w:val="18"/>
                <w:szCs w:val="18"/>
              </w:rPr>
              <w:t>:</w:t>
            </w:r>
          </w:p>
          <w:p w14:paraId="6CA457BB" w14:textId="6B108A8A"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Абзац исключен</w:t>
            </w:r>
          </w:p>
        </w:tc>
        <w:tc>
          <w:tcPr>
            <w:tcW w:w="2219" w:type="dxa"/>
          </w:tcPr>
          <w:p w14:paraId="77C68B07" w14:textId="77777777" w:rsidR="00B978A2" w:rsidRPr="004C2278" w:rsidRDefault="00B978A2" w:rsidP="00B978A2">
            <w:pPr>
              <w:rPr>
                <w:rFonts w:ascii="Times New Roman" w:hAnsi="Times New Roman" w:cs="Times New Roman"/>
              </w:rPr>
            </w:pPr>
          </w:p>
        </w:tc>
      </w:tr>
      <w:tr w:rsidR="00B978A2" w:rsidRPr="004C2278" w14:paraId="4C680058" w14:textId="77777777" w:rsidTr="004C2278">
        <w:tc>
          <w:tcPr>
            <w:tcW w:w="3563" w:type="dxa"/>
          </w:tcPr>
          <w:p w14:paraId="08F7FCEF" w14:textId="632B18BE"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1.4.1</w:t>
            </w:r>
            <w:r w:rsidR="00355F33">
              <w:rPr>
                <w:rFonts w:ascii="Times New Roman" w:hAnsi="Times New Roman" w:cs="Times New Roman"/>
                <w:sz w:val="18"/>
                <w:szCs w:val="18"/>
              </w:rPr>
              <w:t>:</w:t>
            </w:r>
          </w:p>
          <w:p w14:paraId="2A448FF4" w14:textId="12C22C9C"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b/>
                <w:sz w:val="18"/>
                <w:szCs w:val="18"/>
              </w:rPr>
              <w:t xml:space="preserve">Сайт - </w:t>
            </w:r>
            <w:r w:rsidRPr="004C2278">
              <w:rPr>
                <w:rFonts w:ascii="Times New Roman" w:hAnsi="Times New Roman" w:cs="Times New Roman"/>
                <w:sz w:val="18"/>
                <w:szCs w:val="18"/>
              </w:rPr>
              <w:t xml:space="preserve">страница Компании в информационно-телекоммуникационной сети «Интернет», расположенная по адресу: </w:t>
            </w:r>
            <w:hyperlink r:id="rId9" w:history="1">
              <w:r w:rsidRPr="004C2278">
                <w:rPr>
                  <w:rStyle w:val="a4"/>
                  <w:rFonts w:ascii="Times New Roman" w:hAnsi="Times New Roman" w:cs="Times New Roman"/>
                  <w:sz w:val="18"/>
                  <w:szCs w:val="18"/>
                </w:rPr>
                <w:t>https://ukhorizon.ru/</w:t>
              </w:r>
            </w:hyperlink>
            <w:r w:rsidRPr="004C2278">
              <w:rPr>
                <w:rStyle w:val="a4"/>
                <w:rFonts w:ascii="Times New Roman" w:hAnsi="Times New Roman" w:cs="Times New Roman"/>
                <w:sz w:val="18"/>
                <w:szCs w:val="18"/>
              </w:rPr>
              <w:t>;</w:t>
            </w:r>
          </w:p>
        </w:tc>
        <w:tc>
          <w:tcPr>
            <w:tcW w:w="3563" w:type="dxa"/>
          </w:tcPr>
          <w:p w14:paraId="687BE892" w14:textId="07611FD9"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1.4.1</w:t>
            </w:r>
            <w:r w:rsidR="00355F33">
              <w:rPr>
                <w:rFonts w:ascii="Times New Roman" w:hAnsi="Times New Roman" w:cs="Times New Roman"/>
                <w:sz w:val="18"/>
                <w:szCs w:val="18"/>
              </w:rPr>
              <w:t>:</w:t>
            </w:r>
          </w:p>
          <w:p w14:paraId="23534B0D" w14:textId="3E3612D8"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b/>
                <w:sz w:val="18"/>
                <w:szCs w:val="18"/>
              </w:rPr>
              <w:t>Сайт -</w:t>
            </w:r>
            <w:r w:rsidRPr="004C2278">
              <w:rPr>
                <w:rFonts w:ascii="Times New Roman" w:hAnsi="Times New Roman" w:cs="Times New Roman"/>
                <w:sz w:val="18"/>
                <w:szCs w:val="18"/>
              </w:rPr>
              <w:t xml:space="preserve"> страница Компании в информационно-телекоммуникационной сети «Интернет», расположенная по адресу: </w:t>
            </w:r>
            <w:r w:rsidRPr="004C2278">
              <w:rPr>
                <w:rFonts w:ascii="Times New Roman" w:eastAsia="MS Gothic" w:hAnsi="Times New Roman" w:cs="Times New Roman"/>
                <w:sz w:val="18"/>
                <w:szCs w:val="18"/>
              </w:rPr>
              <w:t>https://www. ikhorizon.ru;</w:t>
            </w:r>
          </w:p>
        </w:tc>
        <w:tc>
          <w:tcPr>
            <w:tcW w:w="2219" w:type="dxa"/>
          </w:tcPr>
          <w:p w14:paraId="4D72E92B" w14:textId="77777777" w:rsidR="00B978A2" w:rsidRPr="004C2278" w:rsidRDefault="00B978A2" w:rsidP="00B978A2">
            <w:pPr>
              <w:rPr>
                <w:rFonts w:ascii="Times New Roman" w:hAnsi="Times New Roman" w:cs="Times New Roman"/>
              </w:rPr>
            </w:pPr>
          </w:p>
        </w:tc>
      </w:tr>
      <w:tr w:rsidR="00B978A2" w:rsidRPr="004C2278" w14:paraId="13B0E1A3" w14:textId="77777777" w:rsidTr="004C2278">
        <w:tc>
          <w:tcPr>
            <w:tcW w:w="3563" w:type="dxa"/>
          </w:tcPr>
          <w:p w14:paraId="4FF42CEA" w14:textId="7F787238"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 Отсутствует.</w:t>
            </w:r>
          </w:p>
        </w:tc>
        <w:tc>
          <w:tcPr>
            <w:tcW w:w="3563" w:type="dxa"/>
          </w:tcPr>
          <w:p w14:paraId="3CC3A466" w14:textId="77777777"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1.5.7:</w:t>
            </w:r>
          </w:p>
          <w:p w14:paraId="656BF23C" w14:textId="3886C3A2" w:rsidR="00B978A2" w:rsidRPr="004C2278" w:rsidRDefault="00B978A2" w:rsidP="00203445">
            <w:pPr>
              <w:jc w:val="both"/>
              <w:rPr>
                <w:rFonts w:ascii="Times New Roman" w:hAnsi="Times New Roman" w:cs="Times New Roman"/>
                <w:sz w:val="18"/>
                <w:szCs w:val="18"/>
              </w:rPr>
            </w:pPr>
            <w:r w:rsidRPr="004C2278">
              <w:rPr>
                <w:rFonts w:ascii="Times New Roman" w:hAnsi="Times New Roman" w:cs="Times New Roman"/>
                <w:sz w:val="18"/>
                <w:szCs w:val="18"/>
              </w:rPr>
              <w:t>5) договоров займа и Сделок РЕПО с временно свободными ценными бумагами, заключаемых (совершаемых) в соответствии с Приложением № 9 к Регламенту.</w:t>
            </w:r>
          </w:p>
        </w:tc>
        <w:tc>
          <w:tcPr>
            <w:tcW w:w="2219" w:type="dxa"/>
          </w:tcPr>
          <w:p w14:paraId="7938D0D8" w14:textId="77777777" w:rsidR="00B978A2" w:rsidRPr="004C2278" w:rsidRDefault="00B978A2" w:rsidP="00B978A2">
            <w:pPr>
              <w:rPr>
                <w:rFonts w:ascii="Times New Roman" w:hAnsi="Times New Roman" w:cs="Times New Roman"/>
              </w:rPr>
            </w:pPr>
          </w:p>
        </w:tc>
      </w:tr>
      <w:tr w:rsidR="00B978A2" w:rsidRPr="004C2278" w14:paraId="4614E0D5" w14:textId="77777777" w:rsidTr="004C2278">
        <w:tc>
          <w:tcPr>
            <w:tcW w:w="3563" w:type="dxa"/>
          </w:tcPr>
          <w:p w14:paraId="44580A75" w14:textId="77777777"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1.5.8:</w:t>
            </w:r>
          </w:p>
          <w:p w14:paraId="31484B1E" w14:textId="5499A5AE"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1.5.8. По соглашению с Клиентом Компания вправе предоставить Клиенту, не предоставившему Компании право использования денежных средств и (или) ценных бумаг в интересах Компании, услуги по совершения Сделок, указанных в подпунктах 1-4 пункта 1.5.7 Регламента. В этом случае Компания обеспечивает обособленный учет клиринговой организацией, другим брокером, иностранной финансовой организацией денежных средств и ценных бумаг каждого Клиента, не предоставившего Компании право использования денежных средств и(или) ценных бумаг в интересах Компании, и в отношении которого Компания не применяет ограничений по предоставлению услуг по совершению Сделок, указанных в пункте 1.5.7 Регламента.</w:t>
            </w:r>
          </w:p>
        </w:tc>
        <w:tc>
          <w:tcPr>
            <w:tcW w:w="3563" w:type="dxa"/>
          </w:tcPr>
          <w:p w14:paraId="1BEF3171" w14:textId="77777777"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1.5.8:</w:t>
            </w:r>
          </w:p>
          <w:p w14:paraId="3D76980A" w14:textId="13831710"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1.5.8. По соглашению с Клиентом Компания вправе предоставить Клиенту, не предоставившему Компании право использования денежных средств и (или) ценных бумаг в интересах Компании, услуги по совершения Сделок, указанных в подпунктах 1-5 пункта 1.5.7 Регламента. В этом случае Компания обеспечивает обособленный учет клиринговой организацией, другим брокером, иностранной финансовой организацией денежных средств и ценных бумаг каждого Клиента, не предоставившего Компании право использования денежных средств и(или) ценных бумаг в интересах Компании, и в отношении которого Компания не применяет ограничений по предоставлению услуг по совершению Сделок, указанных в пункте 1.5.7 Регламента.</w:t>
            </w:r>
          </w:p>
        </w:tc>
        <w:tc>
          <w:tcPr>
            <w:tcW w:w="2219" w:type="dxa"/>
          </w:tcPr>
          <w:p w14:paraId="09B37ED1" w14:textId="77777777" w:rsidR="00B978A2" w:rsidRPr="004C2278" w:rsidRDefault="00B978A2" w:rsidP="00B978A2">
            <w:pPr>
              <w:rPr>
                <w:rFonts w:ascii="Times New Roman" w:hAnsi="Times New Roman" w:cs="Times New Roman"/>
              </w:rPr>
            </w:pPr>
          </w:p>
        </w:tc>
      </w:tr>
      <w:tr w:rsidR="00B978A2" w:rsidRPr="004C2278" w14:paraId="126CD5DE" w14:textId="77777777" w:rsidTr="004C2278">
        <w:tc>
          <w:tcPr>
            <w:tcW w:w="3563" w:type="dxa"/>
          </w:tcPr>
          <w:p w14:paraId="5B14CBAB" w14:textId="77777777"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Пункт 1.5.16: </w:t>
            </w:r>
          </w:p>
          <w:p w14:paraId="65356A52" w14:textId="01FD8A71"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Компания в интересах Клиента совершает операции (сделки) на рынке ценных бумаг, на срочном рынке, совершает операции (сделки) с векселями, при этом поручения физических лиц, не являющихся квалифицированными инвесторами, в отношении отдельных сделок (договоров) исполняются только после прохождения ими тестирования по соответствующим сделкам (договорам) и получения положительного результата тестирования.</w:t>
            </w:r>
          </w:p>
        </w:tc>
        <w:tc>
          <w:tcPr>
            <w:tcW w:w="3563" w:type="dxa"/>
          </w:tcPr>
          <w:p w14:paraId="3A1B572C" w14:textId="77777777"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Пункт 1.5.16: </w:t>
            </w:r>
          </w:p>
          <w:p w14:paraId="4D3CA69A" w14:textId="75BC93A3"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Компания в интересах Клиента совершает операции (сделки) на рынке ценных бумаг, на срочном </w:t>
            </w:r>
            <w:proofErr w:type="gramStart"/>
            <w:r w:rsidRPr="004C2278">
              <w:rPr>
                <w:rFonts w:ascii="Times New Roman" w:hAnsi="Times New Roman" w:cs="Times New Roman"/>
                <w:sz w:val="18"/>
                <w:szCs w:val="18"/>
              </w:rPr>
              <w:t>рынке,  при</w:t>
            </w:r>
            <w:proofErr w:type="gramEnd"/>
            <w:r w:rsidRPr="004C2278">
              <w:rPr>
                <w:rFonts w:ascii="Times New Roman" w:hAnsi="Times New Roman" w:cs="Times New Roman"/>
                <w:sz w:val="18"/>
                <w:szCs w:val="18"/>
              </w:rPr>
              <w:t xml:space="preserve"> этом поручения физических лиц, не являющихся квалифицированными инвесторами, в отношении отдельных сделок (договоров) исполняются только после прохождения ими тестирования по соответствующим сделкам (договорам) и получения положительного результата тестирования.</w:t>
            </w:r>
          </w:p>
        </w:tc>
        <w:tc>
          <w:tcPr>
            <w:tcW w:w="2219" w:type="dxa"/>
          </w:tcPr>
          <w:p w14:paraId="2AD0417B" w14:textId="77777777" w:rsidR="00B978A2" w:rsidRPr="004C2278" w:rsidRDefault="00B978A2" w:rsidP="00B978A2">
            <w:pPr>
              <w:rPr>
                <w:rFonts w:ascii="Times New Roman" w:hAnsi="Times New Roman" w:cs="Times New Roman"/>
              </w:rPr>
            </w:pPr>
          </w:p>
        </w:tc>
      </w:tr>
      <w:tr w:rsidR="00B978A2" w:rsidRPr="004C2278" w14:paraId="68E72E78" w14:textId="77777777" w:rsidTr="004C2278">
        <w:tc>
          <w:tcPr>
            <w:tcW w:w="3563" w:type="dxa"/>
          </w:tcPr>
          <w:p w14:paraId="2C5A6A12" w14:textId="340F6DBF"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1.7.1:</w:t>
            </w:r>
          </w:p>
          <w:p w14:paraId="1604C6FB" w14:textId="6C8D8597"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передачи Компании документарных ценных бумаг при условии, что содержание данных ценных бумаг позволяет Компании распоряжаться ими в целях исполнения заключенных Компанией Сделок (векселя содержат надлежащим образом оформленные бланковые индоссаменты либо индоссаменты на имя Компании и т.п.);</w:t>
            </w:r>
          </w:p>
        </w:tc>
        <w:tc>
          <w:tcPr>
            <w:tcW w:w="3563" w:type="dxa"/>
          </w:tcPr>
          <w:p w14:paraId="1BC7648C" w14:textId="4EF20EC7"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1.7.1:</w:t>
            </w:r>
          </w:p>
          <w:p w14:paraId="50523A9D" w14:textId="4B6915E4"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Абзац исключен</w:t>
            </w:r>
          </w:p>
        </w:tc>
        <w:tc>
          <w:tcPr>
            <w:tcW w:w="2219" w:type="dxa"/>
          </w:tcPr>
          <w:p w14:paraId="7D9F720C" w14:textId="77777777" w:rsidR="00B978A2" w:rsidRPr="004C2278" w:rsidRDefault="00B978A2" w:rsidP="00B978A2">
            <w:pPr>
              <w:rPr>
                <w:rFonts w:ascii="Times New Roman" w:hAnsi="Times New Roman" w:cs="Times New Roman"/>
              </w:rPr>
            </w:pPr>
          </w:p>
        </w:tc>
      </w:tr>
      <w:tr w:rsidR="00B978A2" w:rsidRPr="004C2278" w14:paraId="7735E3AD" w14:textId="77777777" w:rsidTr="004C2278">
        <w:tc>
          <w:tcPr>
            <w:tcW w:w="3563" w:type="dxa"/>
          </w:tcPr>
          <w:p w14:paraId="56ECFD11" w14:textId="5CB549B2" w:rsidR="00B978A2" w:rsidRPr="004C2278" w:rsidRDefault="00E5317B" w:rsidP="00203445">
            <w:pPr>
              <w:jc w:val="both"/>
              <w:rPr>
                <w:rFonts w:ascii="Times New Roman" w:hAnsi="Times New Roman" w:cs="Times New Roman"/>
                <w:sz w:val="18"/>
                <w:szCs w:val="18"/>
              </w:rPr>
            </w:pPr>
            <w:bookmarkStart w:id="3" w:name="_Hlk179218430"/>
            <w:r w:rsidRPr="004C2278">
              <w:rPr>
                <w:rFonts w:ascii="Times New Roman" w:hAnsi="Times New Roman" w:cs="Times New Roman"/>
                <w:sz w:val="18"/>
                <w:szCs w:val="18"/>
              </w:rPr>
              <w:t>Пункт 1.8.14:</w:t>
            </w:r>
            <w:bookmarkEnd w:id="3"/>
          </w:p>
          <w:p w14:paraId="1D7D3E9D" w14:textId="7B019ECE"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1.8.14. При использовании Компанией денежных средств Клиента в собственных интересах у Клиента возникают риски, аналогичные рискам, указанным в пункте 1.8.13 Регламента, при этом, в случае зачисления денежных средств Клиента на собственный банковский счет Компании, такие риски могут возникнуть как из-за отсутствия на счете Компании достаточного количества денежных </w:t>
            </w:r>
            <w:r w:rsidRPr="004C2278">
              <w:rPr>
                <w:rFonts w:ascii="Times New Roman" w:hAnsi="Times New Roman" w:cs="Times New Roman"/>
                <w:sz w:val="18"/>
                <w:szCs w:val="18"/>
              </w:rPr>
              <w:lastRenderedPageBreak/>
              <w:t xml:space="preserve">средств, так и из-за обращения взыскания на имущество Компании или невозможности осуществить операцию по банковскому счету Компании в виду </w:t>
            </w:r>
            <w:proofErr w:type="spellStart"/>
            <w:r w:rsidRPr="004C2278">
              <w:rPr>
                <w:rFonts w:ascii="Times New Roman" w:hAnsi="Times New Roman" w:cs="Times New Roman"/>
                <w:sz w:val="18"/>
                <w:szCs w:val="18"/>
              </w:rPr>
              <w:t>приоставления</w:t>
            </w:r>
            <w:proofErr w:type="spellEnd"/>
            <w:r w:rsidRPr="004C2278">
              <w:rPr>
                <w:rFonts w:ascii="Times New Roman" w:hAnsi="Times New Roman" w:cs="Times New Roman"/>
                <w:sz w:val="18"/>
                <w:szCs w:val="18"/>
              </w:rPr>
              <w:t xml:space="preserve"> операций по нему в случаях, установленных законодательством.</w:t>
            </w:r>
          </w:p>
        </w:tc>
        <w:tc>
          <w:tcPr>
            <w:tcW w:w="3563" w:type="dxa"/>
          </w:tcPr>
          <w:p w14:paraId="3873BDAB" w14:textId="77777777"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lastRenderedPageBreak/>
              <w:t>Пункт 1.8.14:</w:t>
            </w:r>
          </w:p>
          <w:p w14:paraId="68D7D5CA" w14:textId="08364BEF"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1.8.14. При использовании Компанией денежных средств Клиента в собственных интересах у Клиента возникают риски, аналогичные рискам, указанным в пункте 1.8.13 Регламента, при этом, в случае зачисления денежных средств Клиента на собственный банковский счет Компании, такие риски могут возникнуть как из-за отсутствия на счете Компании достаточного количества денежных </w:t>
            </w:r>
            <w:r w:rsidRPr="004C2278">
              <w:rPr>
                <w:rFonts w:ascii="Times New Roman" w:hAnsi="Times New Roman" w:cs="Times New Roman"/>
                <w:sz w:val="18"/>
                <w:szCs w:val="18"/>
              </w:rPr>
              <w:lastRenderedPageBreak/>
              <w:t>средств, так и из-за обращения взыскания на имущество Компании или невозможности осуществить операцию по банковскому счету Компании в виду приостановки операций по нему в случаях, установленных законодательством.</w:t>
            </w:r>
          </w:p>
        </w:tc>
        <w:tc>
          <w:tcPr>
            <w:tcW w:w="2219" w:type="dxa"/>
          </w:tcPr>
          <w:p w14:paraId="3B318E89" w14:textId="77777777" w:rsidR="00B978A2" w:rsidRPr="004C2278" w:rsidRDefault="00B978A2" w:rsidP="00B978A2">
            <w:pPr>
              <w:rPr>
                <w:rFonts w:ascii="Times New Roman" w:hAnsi="Times New Roman" w:cs="Times New Roman"/>
              </w:rPr>
            </w:pPr>
          </w:p>
        </w:tc>
      </w:tr>
      <w:tr w:rsidR="00B978A2" w:rsidRPr="004C2278" w14:paraId="1B159411" w14:textId="77777777" w:rsidTr="004C2278">
        <w:tc>
          <w:tcPr>
            <w:tcW w:w="3563" w:type="dxa"/>
          </w:tcPr>
          <w:p w14:paraId="508E95D6" w14:textId="77777777"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1.11.8:</w:t>
            </w:r>
          </w:p>
          <w:p w14:paraId="2863710E" w14:textId="2868896E" w:rsidR="00E5317B" w:rsidRPr="004C2278" w:rsidRDefault="00133E47" w:rsidP="00203445">
            <w:pPr>
              <w:jc w:val="both"/>
              <w:rPr>
                <w:rFonts w:ascii="Times New Roman" w:hAnsi="Times New Roman" w:cs="Times New Roman"/>
                <w:sz w:val="18"/>
                <w:szCs w:val="18"/>
              </w:rPr>
            </w:pPr>
            <w:bookmarkStart w:id="4" w:name="_Hlk179218600"/>
            <w:r w:rsidRPr="004C2278">
              <w:rPr>
                <w:rFonts w:ascii="Times New Roman" w:hAnsi="Times New Roman" w:cs="Times New Roman"/>
                <w:sz w:val="18"/>
                <w:szCs w:val="18"/>
              </w:rPr>
              <w:t>при приеме поручений, содержащих указание цены (за исключением указания исполнить их по рыночной цене), на бумажном носителе или в форме электронного документа, направленного по электронной почте или по факсу, если подаче соответствующего поручения не предшествовало общение (переписка) Клиента с работником и/или представителем Компании, в ходе которого (которой) Клиент явно выразил намерение подать соответствующее поручение;</w:t>
            </w:r>
            <w:bookmarkEnd w:id="4"/>
          </w:p>
        </w:tc>
        <w:tc>
          <w:tcPr>
            <w:tcW w:w="3563" w:type="dxa"/>
          </w:tcPr>
          <w:p w14:paraId="244698CC" w14:textId="77777777" w:rsidR="00E5317B"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1.11.8:</w:t>
            </w:r>
          </w:p>
          <w:p w14:paraId="09F4FB0F" w14:textId="5DFD5C6D" w:rsidR="00B978A2" w:rsidRPr="004C2278" w:rsidRDefault="00E5317B" w:rsidP="00203445">
            <w:pPr>
              <w:jc w:val="both"/>
              <w:rPr>
                <w:rFonts w:ascii="Times New Roman" w:hAnsi="Times New Roman" w:cs="Times New Roman"/>
                <w:sz w:val="18"/>
                <w:szCs w:val="18"/>
              </w:rPr>
            </w:pPr>
            <w:r w:rsidRPr="004C2278">
              <w:rPr>
                <w:rFonts w:ascii="Times New Roman" w:hAnsi="Times New Roman" w:cs="Times New Roman"/>
                <w:sz w:val="18"/>
                <w:szCs w:val="18"/>
              </w:rPr>
              <w:t>при приеме поручений, содержащих указание цены (за исключением указания исполнить их по рыночной цене), на бумажном носителе или в форме электронного документа, направленного по электронной почте, если подаче соответствующего поручения не предшествовало общение (переписка) Клиента с работником и/или представителем Компании, в ходе которого (которой) Клиент явно выразил намерение подать соответствующее поручение;</w:t>
            </w:r>
          </w:p>
        </w:tc>
        <w:tc>
          <w:tcPr>
            <w:tcW w:w="2219" w:type="dxa"/>
          </w:tcPr>
          <w:p w14:paraId="1650212E" w14:textId="77777777" w:rsidR="00B978A2" w:rsidRPr="004C2278" w:rsidRDefault="00B978A2" w:rsidP="00B978A2">
            <w:pPr>
              <w:rPr>
                <w:rFonts w:ascii="Times New Roman" w:hAnsi="Times New Roman" w:cs="Times New Roman"/>
              </w:rPr>
            </w:pPr>
          </w:p>
        </w:tc>
      </w:tr>
      <w:tr w:rsidR="00B978A2" w:rsidRPr="004C2278" w14:paraId="1DD41880" w14:textId="77777777" w:rsidTr="004C2278">
        <w:tc>
          <w:tcPr>
            <w:tcW w:w="3563" w:type="dxa"/>
          </w:tcPr>
          <w:p w14:paraId="5C3A7360" w14:textId="3BCE4E90" w:rsidR="00B978A2"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2.1.1:</w:t>
            </w:r>
          </w:p>
          <w:p w14:paraId="4B89B6ED" w14:textId="77777777" w:rsidR="00133E47" w:rsidRPr="004C2278" w:rsidRDefault="00133E47" w:rsidP="00203445">
            <w:pPr>
              <w:numPr>
                <w:ilvl w:val="2"/>
                <w:numId w:val="1"/>
              </w:numPr>
              <w:ind w:left="170" w:hanging="142"/>
              <w:jc w:val="both"/>
              <w:rPr>
                <w:rFonts w:ascii="Times New Roman" w:hAnsi="Times New Roman" w:cs="Times New Roman"/>
                <w:sz w:val="18"/>
                <w:szCs w:val="18"/>
              </w:rPr>
            </w:pPr>
            <w:r w:rsidRPr="004C2278">
              <w:rPr>
                <w:rFonts w:ascii="Times New Roman" w:hAnsi="Times New Roman" w:cs="Times New Roman"/>
                <w:sz w:val="18"/>
                <w:szCs w:val="18"/>
              </w:rPr>
              <w:t>В рамках Договора о брокерском обслуживании взаимодействие Сторон осуществляется следующими способами:</w:t>
            </w:r>
          </w:p>
          <w:p w14:paraId="7D3B8B85" w14:textId="77777777"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в электронной форме с использованием системы Интернет-Трейдинга;</w:t>
            </w:r>
          </w:p>
          <w:p w14:paraId="70645CF5" w14:textId="706F41C0"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в электронной форме с использованием электронной почты (</w:t>
            </w:r>
            <w:r w:rsidRPr="004C2278">
              <w:rPr>
                <w:rFonts w:ascii="Times New Roman" w:hAnsi="Times New Roman" w:cs="Times New Roman"/>
                <w:sz w:val="18"/>
                <w:szCs w:val="18"/>
                <w:lang w:val="en-US"/>
              </w:rPr>
              <w:t>e</w:t>
            </w:r>
            <w:r w:rsidRPr="004C2278">
              <w:rPr>
                <w:rFonts w:ascii="Times New Roman" w:hAnsi="Times New Roman" w:cs="Times New Roman"/>
                <w:sz w:val="18"/>
                <w:szCs w:val="18"/>
              </w:rPr>
              <w:t>-</w:t>
            </w:r>
            <w:r w:rsidRPr="004C2278">
              <w:rPr>
                <w:rFonts w:ascii="Times New Roman" w:hAnsi="Times New Roman" w:cs="Times New Roman"/>
                <w:sz w:val="18"/>
                <w:szCs w:val="18"/>
                <w:lang w:val="en-US"/>
              </w:rPr>
              <w:t>mail</w:t>
            </w:r>
            <w:r w:rsidRPr="004C2278">
              <w:rPr>
                <w:rFonts w:ascii="Times New Roman" w:hAnsi="Times New Roman" w:cs="Times New Roman"/>
                <w:sz w:val="18"/>
                <w:szCs w:val="18"/>
              </w:rPr>
              <w:t>);</w:t>
            </w:r>
          </w:p>
          <w:p w14:paraId="773A5C5B" w14:textId="2A5B2953"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в письменной форме с использованием факсимильной связи (факса);</w:t>
            </w:r>
          </w:p>
          <w:p w14:paraId="554F15B8" w14:textId="77777777"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путем использования почтовой связи;</w:t>
            </w:r>
          </w:p>
          <w:p w14:paraId="468CCC5A" w14:textId="56011147" w:rsidR="00133E47"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 путем непосредственного взаимодействия Сторон в офисе Компании.</w:t>
            </w:r>
          </w:p>
        </w:tc>
        <w:tc>
          <w:tcPr>
            <w:tcW w:w="3563" w:type="dxa"/>
          </w:tcPr>
          <w:p w14:paraId="5EE714ED" w14:textId="6FBC4217" w:rsidR="00B978A2"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2.1.1:</w:t>
            </w:r>
          </w:p>
          <w:p w14:paraId="621AA5FB" w14:textId="77777777" w:rsidR="00133E47" w:rsidRPr="004C2278" w:rsidRDefault="00133E47" w:rsidP="00203445">
            <w:pPr>
              <w:numPr>
                <w:ilvl w:val="2"/>
                <w:numId w:val="1"/>
              </w:numPr>
              <w:ind w:left="170" w:hanging="142"/>
              <w:jc w:val="both"/>
              <w:rPr>
                <w:rFonts w:ascii="Times New Roman" w:hAnsi="Times New Roman" w:cs="Times New Roman"/>
                <w:sz w:val="18"/>
                <w:szCs w:val="18"/>
              </w:rPr>
            </w:pPr>
            <w:r w:rsidRPr="004C2278">
              <w:rPr>
                <w:rFonts w:ascii="Times New Roman" w:hAnsi="Times New Roman" w:cs="Times New Roman"/>
                <w:sz w:val="18"/>
                <w:szCs w:val="18"/>
              </w:rPr>
              <w:t>В рамках Договора о брокерском обслуживании взаимодействие Сторон осуществляется следующими способами:</w:t>
            </w:r>
          </w:p>
          <w:p w14:paraId="4B363868" w14:textId="77777777"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в электронной форме с использованием системы Интернет-Трейдинга;</w:t>
            </w:r>
          </w:p>
          <w:p w14:paraId="7A1ED03C" w14:textId="77777777"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в электронной форме с использованием электронной почты (</w:t>
            </w:r>
            <w:r w:rsidRPr="004C2278">
              <w:rPr>
                <w:rFonts w:ascii="Times New Roman" w:hAnsi="Times New Roman" w:cs="Times New Roman"/>
                <w:sz w:val="18"/>
                <w:szCs w:val="18"/>
                <w:lang w:val="en-US"/>
              </w:rPr>
              <w:t>e</w:t>
            </w:r>
            <w:r w:rsidRPr="004C2278">
              <w:rPr>
                <w:rFonts w:ascii="Times New Roman" w:hAnsi="Times New Roman" w:cs="Times New Roman"/>
                <w:sz w:val="18"/>
                <w:szCs w:val="18"/>
              </w:rPr>
              <w:t>-</w:t>
            </w:r>
            <w:r w:rsidRPr="004C2278">
              <w:rPr>
                <w:rFonts w:ascii="Times New Roman" w:hAnsi="Times New Roman" w:cs="Times New Roman"/>
                <w:sz w:val="18"/>
                <w:szCs w:val="18"/>
                <w:lang w:val="en-US"/>
              </w:rPr>
              <w:t>mail</w:t>
            </w:r>
            <w:r w:rsidRPr="004C2278">
              <w:rPr>
                <w:rFonts w:ascii="Times New Roman" w:hAnsi="Times New Roman" w:cs="Times New Roman"/>
                <w:sz w:val="18"/>
                <w:szCs w:val="18"/>
              </w:rPr>
              <w:t>);</w:t>
            </w:r>
          </w:p>
          <w:p w14:paraId="0B278191" w14:textId="77777777"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путем использования почтовой связи;</w:t>
            </w:r>
          </w:p>
          <w:p w14:paraId="228866D9" w14:textId="05A23D38" w:rsidR="00133E47" w:rsidRPr="004C2278" w:rsidRDefault="00133E47" w:rsidP="00203445">
            <w:pPr>
              <w:ind w:left="170" w:hanging="142"/>
              <w:jc w:val="both"/>
              <w:rPr>
                <w:rFonts w:ascii="Times New Roman" w:hAnsi="Times New Roman" w:cs="Times New Roman"/>
                <w:sz w:val="18"/>
                <w:szCs w:val="18"/>
              </w:rPr>
            </w:pPr>
            <w:r w:rsidRPr="004C2278">
              <w:rPr>
                <w:rFonts w:ascii="Times New Roman" w:hAnsi="Times New Roman" w:cs="Times New Roman"/>
                <w:sz w:val="18"/>
                <w:szCs w:val="18"/>
              </w:rPr>
              <w:t>- путем непосредственного взаимодействия Сторон в офисе Компании.</w:t>
            </w:r>
          </w:p>
        </w:tc>
        <w:tc>
          <w:tcPr>
            <w:tcW w:w="2219" w:type="dxa"/>
          </w:tcPr>
          <w:p w14:paraId="65DE579D" w14:textId="77777777" w:rsidR="00B978A2" w:rsidRPr="004C2278" w:rsidRDefault="00B978A2" w:rsidP="00B978A2">
            <w:pPr>
              <w:rPr>
                <w:rFonts w:ascii="Times New Roman" w:hAnsi="Times New Roman" w:cs="Times New Roman"/>
              </w:rPr>
            </w:pPr>
          </w:p>
        </w:tc>
      </w:tr>
      <w:tr w:rsidR="00B978A2" w:rsidRPr="004C2278" w14:paraId="0F12D6C7" w14:textId="77777777" w:rsidTr="004C2278">
        <w:tc>
          <w:tcPr>
            <w:tcW w:w="3563" w:type="dxa"/>
          </w:tcPr>
          <w:p w14:paraId="6AB5EDFC" w14:textId="390C0F6C" w:rsidR="00133E47"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2.1.2:</w:t>
            </w:r>
          </w:p>
          <w:p w14:paraId="14C04F67" w14:textId="1682BFB7" w:rsidR="00B978A2"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2.1.2. Клиент вправе направлять Сообщения в электронной форме с электронной </w:t>
            </w:r>
            <w:proofErr w:type="spellStart"/>
            <w:proofErr w:type="gramStart"/>
            <w:r w:rsidRPr="004C2278">
              <w:rPr>
                <w:rFonts w:ascii="Times New Roman" w:hAnsi="Times New Roman" w:cs="Times New Roman"/>
                <w:sz w:val="18"/>
                <w:szCs w:val="18"/>
              </w:rPr>
              <w:t>почты,а</w:t>
            </w:r>
            <w:proofErr w:type="spellEnd"/>
            <w:proofErr w:type="gramEnd"/>
            <w:r w:rsidRPr="004C2278">
              <w:rPr>
                <w:rFonts w:ascii="Times New Roman" w:hAnsi="Times New Roman" w:cs="Times New Roman"/>
                <w:sz w:val="18"/>
                <w:szCs w:val="18"/>
              </w:rPr>
              <w:t xml:space="preserve"> также в письменной форме с использованием факсимильной связи, путем непосредственной передачи в офисе Компании по рабочим дням.</w:t>
            </w:r>
          </w:p>
        </w:tc>
        <w:tc>
          <w:tcPr>
            <w:tcW w:w="3563" w:type="dxa"/>
          </w:tcPr>
          <w:p w14:paraId="6077C179" w14:textId="27516D02" w:rsidR="00133E47"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2.1.2:</w:t>
            </w:r>
          </w:p>
          <w:p w14:paraId="30B2E388" w14:textId="77D258BE" w:rsidR="00B978A2" w:rsidRPr="004C2278" w:rsidRDefault="00133E47" w:rsidP="00203445">
            <w:pPr>
              <w:jc w:val="both"/>
              <w:rPr>
                <w:rFonts w:ascii="Times New Roman" w:hAnsi="Times New Roman" w:cs="Times New Roman"/>
                <w:sz w:val="18"/>
                <w:szCs w:val="18"/>
              </w:rPr>
            </w:pPr>
            <w:r w:rsidRPr="004C2278">
              <w:rPr>
                <w:rFonts w:ascii="Times New Roman" w:hAnsi="Times New Roman" w:cs="Times New Roman"/>
                <w:sz w:val="18"/>
                <w:szCs w:val="18"/>
              </w:rPr>
              <w:t>2.1.2. Клиент вправе направлять Сообщения в электронной форме с электронной почты, а также в письменной форме путем использования почтовой связи либо, путем непосредственной передачи в офисе Компании по рабочим дням</w:t>
            </w:r>
          </w:p>
        </w:tc>
        <w:tc>
          <w:tcPr>
            <w:tcW w:w="2219" w:type="dxa"/>
          </w:tcPr>
          <w:p w14:paraId="59CFAC53" w14:textId="77777777" w:rsidR="00B978A2" w:rsidRPr="004C2278" w:rsidRDefault="00B978A2" w:rsidP="00B978A2">
            <w:pPr>
              <w:rPr>
                <w:rFonts w:ascii="Times New Roman" w:hAnsi="Times New Roman" w:cs="Times New Roman"/>
              </w:rPr>
            </w:pPr>
          </w:p>
        </w:tc>
      </w:tr>
      <w:tr w:rsidR="00B978A2" w:rsidRPr="004C2278" w14:paraId="3C4B1C04" w14:textId="77777777" w:rsidTr="004C2278">
        <w:tc>
          <w:tcPr>
            <w:tcW w:w="3563" w:type="dxa"/>
          </w:tcPr>
          <w:p w14:paraId="4FA198A0" w14:textId="77777777" w:rsidR="00B978A2" w:rsidRPr="004C2278" w:rsidRDefault="00133E47" w:rsidP="00133E47">
            <w:pPr>
              <w:rPr>
                <w:rFonts w:ascii="Times New Roman" w:hAnsi="Times New Roman" w:cs="Times New Roman"/>
                <w:sz w:val="18"/>
                <w:szCs w:val="18"/>
              </w:rPr>
            </w:pPr>
            <w:r w:rsidRPr="004C2278">
              <w:rPr>
                <w:rFonts w:ascii="Times New Roman" w:hAnsi="Times New Roman" w:cs="Times New Roman"/>
                <w:sz w:val="18"/>
                <w:szCs w:val="18"/>
              </w:rPr>
              <w:t>Пункт 2.3:</w:t>
            </w:r>
          </w:p>
          <w:p w14:paraId="635CBA4A" w14:textId="77777777" w:rsidR="00133E47" w:rsidRPr="004C2278" w:rsidRDefault="00133E47" w:rsidP="00133E47">
            <w:pPr>
              <w:pStyle w:val="a5"/>
              <w:keepNext/>
              <w:numPr>
                <w:ilvl w:val="1"/>
                <w:numId w:val="3"/>
              </w:numPr>
              <w:contextualSpacing w:val="0"/>
              <w:jc w:val="both"/>
              <w:outlineLvl w:val="1"/>
              <w:rPr>
                <w:rStyle w:val="a7"/>
                <w:rFonts w:ascii="Times New Roman" w:hAnsi="Times New Roman" w:cs="Times New Roman"/>
                <w:b/>
                <w:color w:val="000000" w:themeColor="text1"/>
                <w:sz w:val="18"/>
                <w:szCs w:val="18"/>
              </w:rPr>
            </w:pPr>
            <w:bookmarkStart w:id="5" w:name="_Toc264987018"/>
            <w:bookmarkStart w:id="6" w:name="_Toc307219097"/>
            <w:bookmarkStart w:id="7" w:name="_Toc160529546"/>
            <w:r w:rsidRPr="004C2278">
              <w:rPr>
                <w:rStyle w:val="a7"/>
                <w:rFonts w:ascii="Times New Roman" w:hAnsi="Times New Roman" w:cs="Times New Roman"/>
                <w:b/>
                <w:color w:val="000000" w:themeColor="text1"/>
                <w:sz w:val="18"/>
                <w:szCs w:val="18"/>
              </w:rPr>
              <w:t>ПЕРЕДАЧА СООБЩЕНИЙ В ПИСЬМЕННОЙ ФОРМЕ С ИСПОЛЬЗОВАНИЕМ ФАКСИМИЛЬНОЙ СВЯЗИ (ФАКСА)</w:t>
            </w:r>
            <w:bookmarkEnd w:id="5"/>
            <w:bookmarkEnd w:id="6"/>
            <w:bookmarkEnd w:id="7"/>
          </w:p>
          <w:p w14:paraId="7763954D" w14:textId="77777777" w:rsidR="00133E47" w:rsidRPr="004C2278" w:rsidRDefault="00133E47" w:rsidP="00133E47">
            <w:pPr>
              <w:numPr>
                <w:ilvl w:val="2"/>
                <w:numId w:val="3"/>
              </w:numPr>
              <w:ind w:left="720"/>
              <w:jc w:val="both"/>
              <w:rPr>
                <w:rFonts w:ascii="Times New Roman" w:hAnsi="Times New Roman" w:cs="Times New Roman"/>
                <w:sz w:val="18"/>
                <w:szCs w:val="18"/>
              </w:rPr>
            </w:pPr>
            <w:r w:rsidRPr="004C2278">
              <w:rPr>
                <w:rFonts w:ascii="Times New Roman" w:hAnsi="Times New Roman" w:cs="Times New Roman"/>
                <w:sz w:val="18"/>
                <w:szCs w:val="18"/>
              </w:rPr>
              <w:t>В случае, когда использование электронной почты невозможно, Стороны вправе передавать друг другу Сообщения в письменной форме с использованием факсимильной связи (факса).</w:t>
            </w:r>
          </w:p>
          <w:p w14:paraId="4263A4CE" w14:textId="77777777" w:rsidR="00133E47" w:rsidRPr="004C2278" w:rsidRDefault="00133E47" w:rsidP="00133E47">
            <w:pPr>
              <w:numPr>
                <w:ilvl w:val="2"/>
                <w:numId w:val="3"/>
              </w:numPr>
              <w:ind w:left="720"/>
              <w:jc w:val="both"/>
              <w:rPr>
                <w:rFonts w:ascii="Times New Roman" w:hAnsi="Times New Roman" w:cs="Times New Roman"/>
                <w:sz w:val="18"/>
                <w:szCs w:val="18"/>
              </w:rPr>
            </w:pPr>
            <w:r w:rsidRPr="004C2278">
              <w:rPr>
                <w:rFonts w:ascii="Times New Roman" w:hAnsi="Times New Roman" w:cs="Times New Roman"/>
                <w:sz w:val="18"/>
                <w:szCs w:val="18"/>
              </w:rPr>
              <w:t>Сообщение считается переданным (принятым) посредством факсимильной связи при условии:</w:t>
            </w:r>
          </w:p>
          <w:p w14:paraId="03B65A2B" w14:textId="77777777" w:rsidR="00133E47" w:rsidRPr="004C2278" w:rsidRDefault="00133E47" w:rsidP="00133E47">
            <w:pPr>
              <w:numPr>
                <w:ilvl w:val="3"/>
                <w:numId w:val="2"/>
              </w:numPr>
              <w:tabs>
                <w:tab w:val="clear" w:pos="360"/>
              </w:tabs>
              <w:ind w:left="1117" w:hanging="397"/>
              <w:jc w:val="both"/>
              <w:rPr>
                <w:rFonts w:ascii="Times New Roman" w:hAnsi="Times New Roman" w:cs="Times New Roman"/>
                <w:sz w:val="18"/>
                <w:szCs w:val="18"/>
              </w:rPr>
            </w:pPr>
            <w:r w:rsidRPr="004C2278">
              <w:rPr>
                <w:rFonts w:ascii="Times New Roman" w:hAnsi="Times New Roman" w:cs="Times New Roman"/>
                <w:sz w:val="18"/>
                <w:szCs w:val="18"/>
              </w:rPr>
              <w:t xml:space="preserve">что передача Сообщения осуществлялась с номера/на номер факса для приема Сообщений, указанного в Регламенте, на номер/с номера факса Клиента, указанного в анкете Клиента, либо с/на номер факса, предоставленный Клиентом путем передачи в Компанию Заявления о добавлении/исключении номера телефона, адреса электронной почты </w:t>
            </w:r>
            <w:r w:rsidRPr="004C2278">
              <w:rPr>
                <w:rFonts w:ascii="Times New Roman" w:hAnsi="Times New Roman" w:cs="Times New Roman"/>
                <w:sz w:val="18"/>
                <w:szCs w:val="18"/>
              </w:rPr>
              <w:lastRenderedPageBreak/>
              <w:t>(Приложение № 1.5 к Регламенту);</w:t>
            </w:r>
          </w:p>
          <w:p w14:paraId="05ADC33F" w14:textId="77777777" w:rsidR="00133E47" w:rsidRPr="004C2278" w:rsidRDefault="00133E47" w:rsidP="00133E47">
            <w:pPr>
              <w:numPr>
                <w:ilvl w:val="3"/>
                <w:numId w:val="2"/>
              </w:numPr>
              <w:tabs>
                <w:tab w:val="clear" w:pos="360"/>
              </w:tabs>
              <w:ind w:left="1117" w:hanging="397"/>
              <w:jc w:val="both"/>
              <w:rPr>
                <w:rFonts w:ascii="Times New Roman" w:hAnsi="Times New Roman" w:cs="Times New Roman"/>
                <w:sz w:val="18"/>
                <w:szCs w:val="18"/>
              </w:rPr>
            </w:pPr>
            <w:r w:rsidRPr="004C2278">
              <w:rPr>
                <w:rFonts w:ascii="Times New Roman" w:hAnsi="Times New Roman" w:cs="Times New Roman"/>
                <w:sz w:val="18"/>
                <w:szCs w:val="18"/>
              </w:rPr>
              <w:t>соответствия полученной факсимильной копии Сообщения требованиям качества, то есть, если принятое Стороной изображение текста Сообщения является разборчивым и позволяет полностью и однозначно прочитать его содержание.</w:t>
            </w:r>
          </w:p>
          <w:p w14:paraId="57CD97B8" w14:textId="662EF9FC" w:rsidR="00133E47" w:rsidRPr="004C2278" w:rsidRDefault="00133E47" w:rsidP="00133E47">
            <w:pPr>
              <w:numPr>
                <w:ilvl w:val="2"/>
                <w:numId w:val="3"/>
              </w:numPr>
              <w:ind w:left="720"/>
              <w:jc w:val="both"/>
              <w:rPr>
                <w:rFonts w:ascii="Times New Roman" w:hAnsi="Times New Roman" w:cs="Times New Roman"/>
              </w:rPr>
            </w:pPr>
            <w:r w:rsidRPr="004C2278">
              <w:rPr>
                <w:rFonts w:ascii="Times New Roman" w:hAnsi="Times New Roman" w:cs="Times New Roman"/>
                <w:sz w:val="18"/>
                <w:szCs w:val="18"/>
              </w:rPr>
              <w:t>Компания вправе считать Сообщение, переданное с использованием факсимильной связи, равносильным Сообщению от Клиента, переданному в оригинале.</w:t>
            </w:r>
          </w:p>
        </w:tc>
        <w:tc>
          <w:tcPr>
            <w:tcW w:w="3563" w:type="dxa"/>
          </w:tcPr>
          <w:p w14:paraId="05425433" w14:textId="06BD387D" w:rsidR="00B978A2" w:rsidRPr="004C2278" w:rsidRDefault="00133E47" w:rsidP="00B978A2">
            <w:pPr>
              <w:rPr>
                <w:rFonts w:ascii="Times New Roman" w:hAnsi="Times New Roman" w:cs="Times New Roman"/>
                <w:sz w:val="18"/>
                <w:szCs w:val="18"/>
              </w:rPr>
            </w:pPr>
            <w:r w:rsidRPr="004C2278">
              <w:rPr>
                <w:rFonts w:ascii="Times New Roman" w:hAnsi="Times New Roman" w:cs="Times New Roman"/>
                <w:sz w:val="18"/>
                <w:szCs w:val="18"/>
              </w:rPr>
              <w:lastRenderedPageBreak/>
              <w:t>Пункт 2.3 удален</w:t>
            </w:r>
          </w:p>
        </w:tc>
        <w:tc>
          <w:tcPr>
            <w:tcW w:w="2219" w:type="dxa"/>
          </w:tcPr>
          <w:p w14:paraId="5CA4E0A6" w14:textId="77777777" w:rsidR="00B978A2" w:rsidRPr="004C2278" w:rsidRDefault="00B978A2" w:rsidP="00B978A2">
            <w:pPr>
              <w:rPr>
                <w:rFonts w:ascii="Times New Roman" w:hAnsi="Times New Roman" w:cs="Times New Roman"/>
              </w:rPr>
            </w:pPr>
          </w:p>
        </w:tc>
      </w:tr>
      <w:tr w:rsidR="00B978A2" w:rsidRPr="004C2278" w14:paraId="4D32A085" w14:textId="77777777" w:rsidTr="004C2278">
        <w:tc>
          <w:tcPr>
            <w:tcW w:w="3563" w:type="dxa"/>
          </w:tcPr>
          <w:p w14:paraId="05FE9222" w14:textId="75485455" w:rsidR="00B978A2"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Нумерация пунктов 2.4 и 2.5 изменена соответственно на 2.3 и 2.4</w:t>
            </w:r>
          </w:p>
        </w:tc>
        <w:tc>
          <w:tcPr>
            <w:tcW w:w="3563" w:type="dxa"/>
          </w:tcPr>
          <w:p w14:paraId="1238DDEC" w14:textId="690FB056" w:rsidR="00B978A2"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Нумерация пунктов 2.4 и 2.5 изменена соответственно на 2.3 и 2.4</w:t>
            </w:r>
          </w:p>
        </w:tc>
        <w:tc>
          <w:tcPr>
            <w:tcW w:w="2219" w:type="dxa"/>
          </w:tcPr>
          <w:p w14:paraId="2AA669B9" w14:textId="42FA1484" w:rsidR="00B978A2" w:rsidRPr="004C2278" w:rsidRDefault="00E13E10" w:rsidP="00B978A2">
            <w:pPr>
              <w:rPr>
                <w:rFonts w:ascii="Times New Roman" w:hAnsi="Times New Roman" w:cs="Times New Roman"/>
                <w:sz w:val="18"/>
                <w:szCs w:val="18"/>
              </w:rPr>
            </w:pPr>
            <w:r w:rsidRPr="00AA01E8">
              <w:rPr>
                <w:rFonts w:ascii="Times New Roman" w:hAnsi="Times New Roman" w:cs="Times New Roman"/>
                <w:sz w:val="18"/>
                <w:szCs w:val="18"/>
              </w:rPr>
              <w:t>Изменение нумерации.</w:t>
            </w:r>
          </w:p>
        </w:tc>
      </w:tr>
      <w:tr w:rsidR="00B978A2" w:rsidRPr="004C2278" w14:paraId="36AAE09D" w14:textId="77777777" w:rsidTr="004C2278">
        <w:tc>
          <w:tcPr>
            <w:tcW w:w="3563" w:type="dxa"/>
          </w:tcPr>
          <w:p w14:paraId="650E41DE" w14:textId="77777777" w:rsidR="00B978A2"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2.4.8:</w:t>
            </w:r>
          </w:p>
          <w:p w14:paraId="15013AA2" w14:textId="063DDA4E" w:rsidR="00891231"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2.4.8. Компания не несет ответственности за неблагоприятные последствия, возникшие у Клиента, в результате реализации рисков, указанных в пункте 2.4.5 Регламента, и/или нарушения Клиентом требований пункта 2.4.7 Регламента.</w:t>
            </w:r>
          </w:p>
        </w:tc>
        <w:tc>
          <w:tcPr>
            <w:tcW w:w="3563" w:type="dxa"/>
          </w:tcPr>
          <w:p w14:paraId="1FD84B67" w14:textId="77777777" w:rsidR="00B978A2"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2.3.8 (с учетом измененной нумерации пунктов):</w:t>
            </w:r>
          </w:p>
          <w:p w14:paraId="6B33177D" w14:textId="4EA29634" w:rsidR="00891231"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2.3.8. Компания не несет ответственности за неблагоприятные последствия, возникшие у Клиента, в результате реализации рисков, указанных в пункте 2.3.5 Регламента, и/или нарушения Клиентом требований пункта 2.3.7 Регламента.</w:t>
            </w:r>
          </w:p>
        </w:tc>
        <w:tc>
          <w:tcPr>
            <w:tcW w:w="2219" w:type="dxa"/>
          </w:tcPr>
          <w:p w14:paraId="221910EC" w14:textId="77777777" w:rsidR="00B978A2" w:rsidRPr="004C2278" w:rsidRDefault="00B978A2" w:rsidP="00B978A2">
            <w:pPr>
              <w:rPr>
                <w:rFonts w:ascii="Times New Roman" w:hAnsi="Times New Roman" w:cs="Times New Roman"/>
                <w:sz w:val="18"/>
                <w:szCs w:val="18"/>
              </w:rPr>
            </w:pPr>
          </w:p>
        </w:tc>
      </w:tr>
      <w:tr w:rsidR="00891231" w:rsidRPr="004C2278" w14:paraId="2108FB53" w14:textId="77777777" w:rsidTr="004C2278">
        <w:tc>
          <w:tcPr>
            <w:tcW w:w="3563" w:type="dxa"/>
          </w:tcPr>
          <w:p w14:paraId="3EA45C0C" w14:textId="77777777" w:rsidR="00891231" w:rsidRPr="004C2278" w:rsidRDefault="00891231"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3.2.3:</w:t>
            </w:r>
          </w:p>
          <w:p w14:paraId="268EAFFC" w14:textId="76164311" w:rsidR="00891231" w:rsidRPr="004C2278" w:rsidRDefault="00AE0A90" w:rsidP="00203445">
            <w:pPr>
              <w:jc w:val="both"/>
              <w:rPr>
                <w:rFonts w:ascii="Times New Roman" w:hAnsi="Times New Roman" w:cs="Times New Roman"/>
                <w:sz w:val="18"/>
                <w:szCs w:val="18"/>
              </w:rPr>
            </w:pPr>
            <w:r w:rsidRPr="004C2278">
              <w:rPr>
                <w:rFonts w:ascii="Times New Roman" w:hAnsi="Times New Roman" w:cs="Times New Roman"/>
                <w:sz w:val="18"/>
                <w:szCs w:val="18"/>
              </w:rPr>
              <w:t>В отношении документарных ценных бумаг – дата подписания Компанией акта приема-передачи ценных бумаг в документарной форме, составленного по форме Приложения № 10 к Регламенту;</w:t>
            </w:r>
          </w:p>
        </w:tc>
        <w:tc>
          <w:tcPr>
            <w:tcW w:w="3563" w:type="dxa"/>
          </w:tcPr>
          <w:p w14:paraId="4B020CF2" w14:textId="05B67E67" w:rsidR="00891231" w:rsidRPr="004C2278" w:rsidRDefault="00AE0A90" w:rsidP="00203445">
            <w:pPr>
              <w:jc w:val="both"/>
              <w:rPr>
                <w:rFonts w:ascii="Times New Roman" w:hAnsi="Times New Roman" w:cs="Times New Roman"/>
                <w:sz w:val="18"/>
                <w:szCs w:val="18"/>
              </w:rPr>
            </w:pPr>
            <w:r w:rsidRPr="004C2278">
              <w:rPr>
                <w:rFonts w:ascii="Times New Roman" w:hAnsi="Times New Roman" w:cs="Times New Roman"/>
                <w:sz w:val="18"/>
                <w:szCs w:val="18"/>
              </w:rPr>
              <w:t>Абзац исключен</w:t>
            </w:r>
          </w:p>
        </w:tc>
        <w:tc>
          <w:tcPr>
            <w:tcW w:w="2219" w:type="dxa"/>
          </w:tcPr>
          <w:p w14:paraId="28B774CF" w14:textId="77777777" w:rsidR="00891231" w:rsidRPr="004C2278" w:rsidRDefault="00891231" w:rsidP="00B978A2">
            <w:pPr>
              <w:rPr>
                <w:rFonts w:ascii="Times New Roman" w:hAnsi="Times New Roman" w:cs="Times New Roman"/>
                <w:sz w:val="18"/>
                <w:szCs w:val="18"/>
              </w:rPr>
            </w:pPr>
          </w:p>
        </w:tc>
      </w:tr>
      <w:tr w:rsidR="00AE0A90" w:rsidRPr="004C2278" w14:paraId="5B620F9D" w14:textId="77777777" w:rsidTr="004C2278">
        <w:tc>
          <w:tcPr>
            <w:tcW w:w="3563" w:type="dxa"/>
          </w:tcPr>
          <w:p w14:paraId="56FA5904" w14:textId="77777777" w:rsidR="00AE0A90" w:rsidRPr="004C2278" w:rsidRDefault="00AE0A90"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3.2.6:</w:t>
            </w:r>
          </w:p>
          <w:p w14:paraId="0DE6FA39" w14:textId="4D489765" w:rsidR="00AE0A90"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3.2.6. Хранение векселей, переданных Клиентом Компании, а также полученных Компанией по сделке, совершенной по поручению Клиента, осуществляется Компанией в порядке и в соответствии с требованиями, предусмотренными действующим законодательством Российской Федерации, в специально-оборудованном помещении своего офиса, расположенного по адресу: 123112, г. Москва, </w:t>
            </w:r>
            <w:proofErr w:type="spellStart"/>
            <w:r w:rsidRPr="004C2278">
              <w:rPr>
                <w:rFonts w:ascii="Times New Roman" w:hAnsi="Times New Roman" w:cs="Times New Roman"/>
                <w:sz w:val="18"/>
                <w:szCs w:val="18"/>
              </w:rPr>
              <w:t>вн.тер.г.муниципальный</w:t>
            </w:r>
            <w:proofErr w:type="spellEnd"/>
            <w:r w:rsidRPr="004C2278">
              <w:rPr>
                <w:rFonts w:ascii="Times New Roman" w:hAnsi="Times New Roman" w:cs="Times New Roman"/>
                <w:sz w:val="18"/>
                <w:szCs w:val="18"/>
              </w:rPr>
              <w:t xml:space="preserve"> округ Пресненский, </w:t>
            </w:r>
            <w:proofErr w:type="spellStart"/>
            <w:r w:rsidRPr="004C2278">
              <w:rPr>
                <w:rFonts w:ascii="Times New Roman" w:hAnsi="Times New Roman" w:cs="Times New Roman"/>
                <w:sz w:val="18"/>
                <w:szCs w:val="18"/>
              </w:rPr>
              <w:t>наб.Пресненская</w:t>
            </w:r>
            <w:proofErr w:type="spellEnd"/>
            <w:r w:rsidRPr="004C2278">
              <w:rPr>
                <w:rFonts w:ascii="Times New Roman" w:hAnsi="Times New Roman" w:cs="Times New Roman"/>
                <w:sz w:val="18"/>
                <w:szCs w:val="18"/>
              </w:rPr>
              <w:t xml:space="preserve">, д. 6, стр. 2, этаж 52, </w:t>
            </w:r>
            <w:proofErr w:type="spellStart"/>
            <w:r w:rsidRPr="004C2278">
              <w:rPr>
                <w:rFonts w:ascii="Times New Roman" w:hAnsi="Times New Roman" w:cs="Times New Roman"/>
                <w:sz w:val="18"/>
                <w:szCs w:val="18"/>
              </w:rPr>
              <w:t>помещ</w:t>
            </w:r>
            <w:proofErr w:type="spellEnd"/>
            <w:r w:rsidRPr="004C2278">
              <w:rPr>
                <w:rFonts w:ascii="Times New Roman" w:hAnsi="Times New Roman" w:cs="Times New Roman"/>
                <w:sz w:val="18"/>
                <w:szCs w:val="18"/>
              </w:rPr>
              <w:t>. 5209.</w:t>
            </w:r>
          </w:p>
        </w:tc>
        <w:tc>
          <w:tcPr>
            <w:tcW w:w="3563" w:type="dxa"/>
          </w:tcPr>
          <w:p w14:paraId="711A0FA8" w14:textId="7C30A627" w:rsidR="00AE0A90" w:rsidRPr="004C2278" w:rsidRDefault="00AE0A90"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исключен</w:t>
            </w:r>
          </w:p>
        </w:tc>
        <w:tc>
          <w:tcPr>
            <w:tcW w:w="2219" w:type="dxa"/>
          </w:tcPr>
          <w:p w14:paraId="0FD78DA8" w14:textId="77777777" w:rsidR="00AE0A90" w:rsidRPr="004C2278" w:rsidRDefault="00AE0A90" w:rsidP="00B978A2">
            <w:pPr>
              <w:rPr>
                <w:rFonts w:ascii="Times New Roman" w:hAnsi="Times New Roman" w:cs="Times New Roman"/>
                <w:sz w:val="18"/>
                <w:szCs w:val="18"/>
              </w:rPr>
            </w:pPr>
          </w:p>
        </w:tc>
      </w:tr>
      <w:tr w:rsidR="00471EFA" w:rsidRPr="004C2278" w14:paraId="41ABFD44" w14:textId="77777777" w:rsidTr="004C2278">
        <w:tc>
          <w:tcPr>
            <w:tcW w:w="3563" w:type="dxa"/>
          </w:tcPr>
          <w:p w14:paraId="133C241F" w14:textId="431E3857"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Нумерация пунктов 3.2.7 и 3.2.8 изменена соответственно на 3.2.6 и 3.2.7</w:t>
            </w:r>
          </w:p>
        </w:tc>
        <w:tc>
          <w:tcPr>
            <w:tcW w:w="3563" w:type="dxa"/>
          </w:tcPr>
          <w:p w14:paraId="054267F2" w14:textId="7DFB6379"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Нумерация пунктов 3.2.7 и 3.2.8 изменена соответственно на 3.2.6 и 3.2.7</w:t>
            </w:r>
          </w:p>
        </w:tc>
        <w:tc>
          <w:tcPr>
            <w:tcW w:w="2219" w:type="dxa"/>
          </w:tcPr>
          <w:p w14:paraId="5F9A689B" w14:textId="0EF1DC5B" w:rsidR="00471EFA" w:rsidRPr="004C2278" w:rsidRDefault="00E13E10" w:rsidP="00B978A2">
            <w:pPr>
              <w:rPr>
                <w:rFonts w:ascii="Times New Roman" w:hAnsi="Times New Roman" w:cs="Times New Roman"/>
                <w:sz w:val="18"/>
                <w:szCs w:val="18"/>
              </w:rPr>
            </w:pPr>
            <w:r w:rsidRPr="00AA01E8">
              <w:rPr>
                <w:rFonts w:ascii="Times New Roman" w:hAnsi="Times New Roman" w:cs="Times New Roman"/>
                <w:sz w:val="18"/>
                <w:szCs w:val="18"/>
              </w:rPr>
              <w:t>Изменение нумерации.</w:t>
            </w:r>
          </w:p>
        </w:tc>
      </w:tr>
      <w:tr w:rsidR="00471EFA" w:rsidRPr="004C2278" w14:paraId="696FADE2" w14:textId="77777777" w:rsidTr="004C2278">
        <w:tc>
          <w:tcPr>
            <w:tcW w:w="3563" w:type="dxa"/>
          </w:tcPr>
          <w:p w14:paraId="1F59FB74" w14:textId="77777777"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3.2.3:</w:t>
            </w:r>
          </w:p>
          <w:p w14:paraId="60C71B07" w14:textId="4850D90D"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3.2.3. Изъятие денежных средств осуществляется Компанией на основании предоставленного Клиентом поручения на вывод денежных средств, составленного по форме, указанной в приложении к Регламенту. Изъятие ценных бумаг осуществляется Компанией на основании предоставленного Клиентом Компании поручения на изъятие ценных бумаг, составленного по форме, указанной в приложении к Регламенту (такое поручение составляется в отношении каждого изымаемого наименования ценной бумаги отдельно, за исключением векселей, которые Клиент вправе перечислить в одном поручении), а также на основании уведомления о расторжении Договора о </w:t>
            </w:r>
            <w:r w:rsidRPr="004C2278">
              <w:rPr>
                <w:rFonts w:ascii="Times New Roman" w:hAnsi="Times New Roman" w:cs="Times New Roman"/>
                <w:sz w:val="18"/>
                <w:szCs w:val="18"/>
              </w:rPr>
              <w:lastRenderedPageBreak/>
              <w:t>брокерском обслуживании либо соглашения о расторжении Договора о брокерском обслуживании (в случае изъятия ценных бумаг в связи с прекращением Договора о брокерском обслуживании).</w:t>
            </w:r>
          </w:p>
        </w:tc>
        <w:tc>
          <w:tcPr>
            <w:tcW w:w="3563" w:type="dxa"/>
          </w:tcPr>
          <w:p w14:paraId="5A104E22" w14:textId="77777777"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lastRenderedPageBreak/>
              <w:t>Часть пункта 3.2.3:</w:t>
            </w:r>
          </w:p>
          <w:p w14:paraId="5164BCE0" w14:textId="1289CF6B"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3.2.3. Изъятие денежных средств осуществляется Компанией на основании предоставленного Клиентом поручения на вывод денежных средств, составленного по форме, указанной в приложении к Регламенту. Изъятие ценных бумаг осуществляется Компанией на основании предоставленного Клиентом Компании поручения на изъятие ценных бумаг, составленного по форме, указанной в приложении к Регламенту (такое поручение составляется в отношении каждого изымаемого наименования ценной бумаги отдельно), а также на основании уведомления о расторжении Договора о брокерском обслуживании либо соглашения о расторжении Договора о </w:t>
            </w:r>
            <w:r w:rsidRPr="004C2278">
              <w:rPr>
                <w:rFonts w:ascii="Times New Roman" w:hAnsi="Times New Roman" w:cs="Times New Roman"/>
                <w:sz w:val="18"/>
                <w:szCs w:val="18"/>
              </w:rPr>
              <w:lastRenderedPageBreak/>
              <w:t>брокерском обслуживании (в случае изъятия ценных бумаг в связи с прекращением Договора о брокерском обслуживании).</w:t>
            </w:r>
          </w:p>
        </w:tc>
        <w:tc>
          <w:tcPr>
            <w:tcW w:w="2219" w:type="dxa"/>
          </w:tcPr>
          <w:p w14:paraId="20AEB558" w14:textId="77777777" w:rsidR="00471EFA" w:rsidRPr="004C2278" w:rsidRDefault="00471EFA" w:rsidP="00B978A2">
            <w:pPr>
              <w:rPr>
                <w:rFonts w:ascii="Times New Roman" w:hAnsi="Times New Roman" w:cs="Times New Roman"/>
                <w:sz w:val="18"/>
                <w:szCs w:val="18"/>
              </w:rPr>
            </w:pPr>
          </w:p>
        </w:tc>
      </w:tr>
      <w:tr w:rsidR="00471EFA" w:rsidRPr="004C2278" w14:paraId="6744F669" w14:textId="77777777" w:rsidTr="004C2278">
        <w:tc>
          <w:tcPr>
            <w:tcW w:w="3563" w:type="dxa"/>
          </w:tcPr>
          <w:p w14:paraId="14CC2AE7" w14:textId="77777777"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3.3.12:</w:t>
            </w:r>
          </w:p>
          <w:p w14:paraId="5557543B" w14:textId="35C50DD4"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3.3.12. Компания не несет ответственность за исполнение поручения на Изъятие Активов, которое было направлено Клиентом с использованием факсимильной связи или электронной почты, и оригинал поручения на бумажном носителе не был получен Компанией, при условии, что соответствующее поручение на Изъятие Активов было исполнено Компанией путем передачи Активов непосредственно Клиенту или его Уполномоченному представителю. При этом Клиент не вправе ссылаться на то обстоятельство, что соответствующее поручение на Изъятие Активов вообще не направлялось им Компании.</w:t>
            </w:r>
          </w:p>
        </w:tc>
        <w:tc>
          <w:tcPr>
            <w:tcW w:w="3563" w:type="dxa"/>
          </w:tcPr>
          <w:p w14:paraId="358F72FD" w14:textId="77777777"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3.3.12:</w:t>
            </w:r>
          </w:p>
          <w:p w14:paraId="12473174" w14:textId="2DF7AFF6" w:rsidR="00471EFA" w:rsidRPr="004C2278" w:rsidRDefault="00471EFA" w:rsidP="00203445">
            <w:pPr>
              <w:jc w:val="both"/>
              <w:rPr>
                <w:rFonts w:ascii="Times New Roman" w:hAnsi="Times New Roman" w:cs="Times New Roman"/>
                <w:sz w:val="18"/>
                <w:szCs w:val="18"/>
              </w:rPr>
            </w:pPr>
            <w:r w:rsidRPr="004C2278">
              <w:rPr>
                <w:rFonts w:ascii="Times New Roman" w:hAnsi="Times New Roman" w:cs="Times New Roman"/>
                <w:sz w:val="18"/>
                <w:szCs w:val="18"/>
              </w:rPr>
              <w:t>3.3.12. Компания не несет ответственность за исполнение поручения на Изъятие Активов, которое было направлено Клиентом с использованием электронной почты,  и оригинал поручения на бумажном носителе не был получен Компанией, при условии, что соответствующее поручение на Изъятие Активов было исполнено Компанией путем передачи Активов непосредственно Клиенту или его Уполномоченному представителю. При этом Клиент не вправе ссылаться на то обстоятельство, что соответствующее поручение на Изъятие Активов вообще не направлялось им Компании.</w:t>
            </w:r>
          </w:p>
        </w:tc>
        <w:tc>
          <w:tcPr>
            <w:tcW w:w="2219" w:type="dxa"/>
          </w:tcPr>
          <w:p w14:paraId="5040F6B2" w14:textId="77777777" w:rsidR="00471EFA" w:rsidRPr="004C2278" w:rsidRDefault="00471EFA" w:rsidP="00B978A2">
            <w:pPr>
              <w:rPr>
                <w:rFonts w:ascii="Times New Roman" w:hAnsi="Times New Roman" w:cs="Times New Roman"/>
                <w:sz w:val="18"/>
                <w:szCs w:val="18"/>
              </w:rPr>
            </w:pPr>
          </w:p>
        </w:tc>
      </w:tr>
      <w:tr w:rsidR="00444007" w:rsidRPr="004C2278" w14:paraId="123D2B9D" w14:textId="77777777" w:rsidTr="004C2278">
        <w:tc>
          <w:tcPr>
            <w:tcW w:w="3563" w:type="dxa"/>
          </w:tcPr>
          <w:p w14:paraId="6064AA0C" w14:textId="77777777"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3.4.5:</w:t>
            </w:r>
          </w:p>
          <w:p w14:paraId="404BD434" w14:textId="5A57CE38"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3.4.5. Резервирование денежных средств осуществляется Компанией на основании поручения Клиента на перевод денежных средств, составленного по форме, указанной в приложении к Регламенту (за исключением перевода денежных средств из одной Торговой системы в другую, если такие Торговые системы объединены в Единый лимит); резервирование ценных бумаг осуществляется Компанией на основании поручения Клиента на резервирование ценных бумаг, составленного по форме, указанной в приложении к Регламенту (такое поручение составляется в отношении каждого резервируемого наименования ценной бумаги отдельно, за исключением векселей, которые Клиент вправе перечислить в одном поучении).</w:t>
            </w:r>
          </w:p>
        </w:tc>
        <w:tc>
          <w:tcPr>
            <w:tcW w:w="3563" w:type="dxa"/>
          </w:tcPr>
          <w:p w14:paraId="05B8CEF0" w14:textId="77777777"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3.4.5:</w:t>
            </w:r>
          </w:p>
          <w:p w14:paraId="3818B312" w14:textId="492201AC"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3.4.5. Резервирование денежных средств осуществляется Компанией на основании поручения Клиента на перевод денежных средств, составленного по форме, указанной в приложении к Регламенту (за исключением перевода денежных средств из одной Торговой системы в другую, если такие Торговые системы объединены в Единый лимит); резервирование ценных бумаг осуществляется Компанией на основании поручения Клиента на резервирование ценных бумаг, составленного по форме, указанной в приложении к Регламенту (такое поручение составляется в отношении каждого резервируемого наименования ценной бумаги отдельно).</w:t>
            </w:r>
          </w:p>
        </w:tc>
        <w:tc>
          <w:tcPr>
            <w:tcW w:w="2219" w:type="dxa"/>
          </w:tcPr>
          <w:p w14:paraId="269A8DC3" w14:textId="77777777" w:rsidR="00444007" w:rsidRPr="004C2278" w:rsidRDefault="00444007" w:rsidP="00444007">
            <w:pPr>
              <w:rPr>
                <w:rFonts w:ascii="Times New Roman" w:hAnsi="Times New Roman" w:cs="Times New Roman"/>
                <w:sz w:val="18"/>
                <w:szCs w:val="18"/>
              </w:rPr>
            </w:pPr>
          </w:p>
        </w:tc>
      </w:tr>
      <w:tr w:rsidR="00444007" w:rsidRPr="004C2278" w14:paraId="7A1CF996" w14:textId="77777777" w:rsidTr="004C2278">
        <w:tc>
          <w:tcPr>
            <w:tcW w:w="3563" w:type="dxa"/>
          </w:tcPr>
          <w:p w14:paraId="5339E068" w14:textId="62B14B2E"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3.4.11:</w:t>
            </w:r>
          </w:p>
          <w:p w14:paraId="35AA07D3" w14:textId="173CFAC4"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3.4.11. Перевод ценных бумаг осуществляется Компанией на основании Поручения на перевод ценных бумаг (Приложение № 4.7 к Регламенту), такое поручение составляется в отношении каждого наименования ценной бумаги отдельно, за исключением векселей, которые Клиент вправе перечислить в одном поручении.</w:t>
            </w:r>
          </w:p>
        </w:tc>
        <w:tc>
          <w:tcPr>
            <w:tcW w:w="3563" w:type="dxa"/>
          </w:tcPr>
          <w:p w14:paraId="6E62D337" w14:textId="6EEB34EC"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3.4.11:</w:t>
            </w:r>
          </w:p>
          <w:p w14:paraId="56FAF122" w14:textId="5777A1FE"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3.4.11. Перевод ценных бумаг осуществляется Компанией на основании Поручения на перевод ценных бумаг (Приложение № 4.6 к Регламенту), такое поручение составляется в отношении каждого наименования ценной бумаги отдельно.</w:t>
            </w:r>
          </w:p>
        </w:tc>
        <w:tc>
          <w:tcPr>
            <w:tcW w:w="2219" w:type="dxa"/>
          </w:tcPr>
          <w:p w14:paraId="74018A21" w14:textId="77777777" w:rsidR="00444007" w:rsidRPr="004C2278" w:rsidRDefault="00444007" w:rsidP="00444007">
            <w:pPr>
              <w:rPr>
                <w:rFonts w:ascii="Times New Roman" w:hAnsi="Times New Roman" w:cs="Times New Roman"/>
                <w:sz w:val="18"/>
                <w:szCs w:val="18"/>
              </w:rPr>
            </w:pPr>
          </w:p>
        </w:tc>
      </w:tr>
      <w:tr w:rsidR="00444007" w:rsidRPr="004C2278" w14:paraId="7AB76BA0" w14:textId="77777777" w:rsidTr="004C2278">
        <w:tc>
          <w:tcPr>
            <w:tcW w:w="3563" w:type="dxa"/>
          </w:tcPr>
          <w:p w14:paraId="39D55A44" w14:textId="7CDEA8B5" w:rsidR="00444007" w:rsidRPr="004C2278" w:rsidRDefault="00444007" w:rsidP="00444007">
            <w:pPr>
              <w:keepNext/>
              <w:jc w:val="both"/>
              <w:outlineLvl w:val="1"/>
              <w:rPr>
                <w:rStyle w:val="a7"/>
                <w:rFonts w:ascii="Times New Roman" w:hAnsi="Times New Roman" w:cs="Times New Roman"/>
                <w:b/>
                <w:color w:val="000000" w:themeColor="text1"/>
                <w:sz w:val="18"/>
                <w:szCs w:val="18"/>
              </w:rPr>
            </w:pPr>
            <w:bookmarkStart w:id="8" w:name="_Toc141846048"/>
            <w:bookmarkStart w:id="9" w:name="_Toc307219108"/>
            <w:bookmarkStart w:id="10" w:name="_Toc160529554"/>
            <w:r w:rsidRPr="004C2278">
              <w:rPr>
                <w:rFonts w:ascii="Times New Roman" w:hAnsi="Times New Roman" w:cs="Times New Roman"/>
                <w:color w:val="000000" w:themeColor="text1"/>
                <w:sz w:val="18"/>
                <w:szCs w:val="18"/>
              </w:rPr>
              <w:lastRenderedPageBreak/>
              <w:t>Пункт 3.5:</w:t>
            </w:r>
          </w:p>
          <w:p w14:paraId="702D9AAE" w14:textId="111DA87C" w:rsidR="00444007" w:rsidRPr="004C2278" w:rsidRDefault="00444007" w:rsidP="00444007">
            <w:pPr>
              <w:pStyle w:val="a5"/>
              <w:keepNext/>
              <w:numPr>
                <w:ilvl w:val="1"/>
                <w:numId w:val="4"/>
              </w:numPr>
              <w:contextualSpacing w:val="0"/>
              <w:jc w:val="both"/>
              <w:outlineLvl w:val="1"/>
              <w:rPr>
                <w:rStyle w:val="a7"/>
                <w:rFonts w:ascii="Times New Roman" w:hAnsi="Times New Roman" w:cs="Times New Roman"/>
                <w:b/>
                <w:color w:val="000000" w:themeColor="text1"/>
                <w:sz w:val="18"/>
                <w:szCs w:val="18"/>
              </w:rPr>
            </w:pPr>
            <w:r w:rsidRPr="004C2278">
              <w:rPr>
                <w:rStyle w:val="a7"/>
                <w:rFonts w:ascii="Times New Roman" w:hAnsi="Times New Roman" w:cs="Times New Roman"/>
                <w:b/>
                <w:color w:val="000000" w:themeColor="text1"/>
                <w:sz w:val="18"/>
                <w:szCs w:val="18"/>
              </w:rPr>
              <w:t>ПРОВЕРКА ФАКТА ВЫДАЧИ ДОКУМЕНТАРНОЙ ЦЕННОЙ БУМАГИ</w:t>
            </w:r>
            <w:bookmarkEnd w:id="8"/>
            <w:bookmarkEnd w:id="9"/>
            <w:bookmarkEnd w:id="10"/>
          </w:p>
          <w:p w14:paraId="2093F5C1" w14:textId="77777777" w:rsidR="00444007" w:rsidRPr="004C2278" w:rsidRDefault="00444007" w:rsidP="00444007">
            <w:pPr>
              <w:numPr>
                <w:ilvl w:val="2"/>
                <w:numId w:val="4"/>
              </w:numPr>
              <w:jc w:val="both"/>
              <w:rPr>
                <w:rFonts w:ascii="Times New Roman" w:hAnsi="Times New Roman" w:cs="Times New Roman"/>
                <w:color w:val="000000" w:themeColor="text1"/>
                <w:sz w:val="18"/>
                <w:szCs w:val="18"/>
              </w:rPr>
            </w:pPr>
            <w:r w:rsidRPr="004C2278">
              <w:rPr>
                <w:rFonts w:ascii="Times New Roman" w:hAnsi="Times New Roman" w:cs="Times New Roman"/>
                <w:color w:val="000000" w:themeColor="text1"/>
                <w:sz w:val="18"/>
                <w:szCs w:val="18"/>
              </w:rPr>
              <w:t>Проверка факта выдачи документарной ценной бумаги осуществляется Компанией при условии, что эмитент (лицо, выдавшее ценную бумагу, или лицо, обязанное исполнить обязательства, предусмотренные ценной бумагой) осуществляет такую проверку в установленном им порядке и у Компании есть возможность осуществить такую проверку.</w:t>
            </w:r>
          </w:p>
          <w:p w14:paraId="6747C05B" w14:textId="77777777" w:rsidR="00444007" w:rsidRPr="004C2278" w:rsidRDefault="00444007" w:rsidP="00444007">
            <w:pPr>
              <w:numPr>
                <w:ilvl w:val="2"/>
                <w:numId w:val="4"/>
              </w:numPr>
              <w:jc w:val="both"/>
              <w:rPr>
                <w:rFonts w:ascii="Times New Roman" w:hAnsi="Times New Roman" w:cs="Times New Roman"/>
                <w:color w:val="000000" w:themeColor="text1"/>
                <w:sz w:val="18"/>
                <w:szCs w:val="18"/>
              </w:rPr>
            </w:pPr>
            <w:r w:rsidRPr="004C2278">
              <w:rPr>
                <w:rFonts w:ascii="Times New Roman" w:hAnsi="Times New Roman" w:cs="Times New Roman"/>
                <w:color w:val="000000" w:themeColor="text1"/>
                <w:sz w:val="18"/>
                <w:szCs w:val="18"/>
              </w:rPr>
              <w:t>Проверка факта выдачи документарной ценной бумаги осуществляется Компанией на основании поручения Клиента, составленного по форме, указанной в приложении к Регламенту. При этом услуга по проверке факта выдачи документарной ценной бумаги осуществляется только с предварительного согласия Компании. При отсутствии такого согласия Компания вправе не исполнять поручение Клиента на проведение проверки факта выдачи ценной бумаги.</w:t>
            </w:r>
          </w:p>
          <w:p w14:paraId="790D4399" w14:textId="40582C3D" w:rsidR="00444007" w:rsidRPr="004C2278" w:rsidRDefault="00444007" w:rsidP="00444007">
            <w:pPr>
              <w:numPr>
                <w:ilvl w:val="2"/>
                <w:numId w:val="4"/>
              </w:numPr>
              <w:jc w:val="both"/>
              <w:rPr>
                <w:rFonts w:ascii="Times New Roman" w:hAnsi="Times New Roman" w:cs="Times New Roman"/>
                <w:color w:val="000000" w:themeColor="text1"/>
              </w:rPr>
            </w:pPr>
            <w:r w:rsidRPr="004C2278">
              <w:rPr>
                <w:rFonts w:ascii="Times New Roman" w:hAnsi="Times New Roman" w:cs="Times New Roman"/>
                <w:color w:val="000000" w:themeColor="text1"/>
                <w:sz w:val="18"/>
                <w:szCs w:val="18"/>
              </w:rPr>
              <w:t>Проверка факта выдачи документарной ценной бумаги в случае её проведения в процессе исполнения Сделки с данной ценной бумагой осуществляется Компанией самостоятельно без поручения Клиента.</w:t>
            </w:r>
          </w:p>
        </w:tc>
        <w:tc>
          <w:tcPr>
            <w:tcW w:w="3563" w:type="dxa"/>
          </w:tcPr>
          <w:p w14:paraId="0CE72ACA" w14:textId="65F342D7" w:rsidR="00444007" w:rsidRPr="004C2278" w:rsidRDefault="00444007" w:rsidP="00444007">
            <w:pPr>
              <w:rPr>
                <w:rFonts w:ascii="Times New Roman" w:hAnsi="Times New Roman" w:cs="Times New Roman"/>
                <w:sz w:val="18"/>
                <w:szCs w:val="18"/>
              </w:rPr>
            </w:pPr>
            <w:r w:rsidRPr="004C2278">
              <w:rPr>
                <w:rFonts w:ascii="Times New Roman" w:hAnsi="Times New Roman" w:cs="Times New Roman"/>
                <w:sz w:val="18"/>
                <w:szCs w:val="18"/>
              </w:rPr>
              <w:t>Пункт 3.5 удален</w:t>
            </w:r>
          </w:p>
        </w:tc>
        <w:tc>
          <w:tcPr>
            <w:tcW w:w="2219" w:type="dxa"/>
          </w:tcPr>
          <w:p w14:paraId="1B613192" w14:textId="77777777" w:rsidR="00444007" w:rsidRPr="004C2278" w:rsidRDefault="00444007" w:rsidP="00444007">
            <w:pPr>
              <w:rPr>
                <w:rFonts w:ascii="Times New Roman" w:hAnsi="Times New Roman" w:cs="Times New Roman"/>
              </w:rPr>
            </w:pPr>
          </w:p>
        </w:tc>
      </w:tr>
      <w:tr w:rsidR="00444007" w:rsidRPr="004C2278" w14:paraId="45BD5CC2" w14:textId="77777777" w:rsidTr="004C2278">
        <w:tc>
          <w:tcPr>
            <w:tcW w:w="3563" w:type="dxa"/>
          </w:tcPr>
          <w:p w14:paraId="57DF042B" w14:textId="34D2B589"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Нумерация пункта 3.5 изменена на 3.6 со всеми подпунктами соответственно</w:t>
            </w:r>
          </w:p>
        </w:tc>
        <w:tc>
          <w:tcPr>
            <w:tcW w:w="3563" w:type="dxa"/>
          </w:tcPr>
          <w:p w14:paraId="21AFC4C8" w14:textId="4EB0ED80" w:rsidR="00444007" w:rsidRPr="004C2278" w:rsidRDefault="00444007" w:rsidP="00203445">
            <w:pPr>
              <w:jc w:val="both"/>
              <w:rPr>
                <w:rFonts w:ascii="Times New Roman" w:hAnsi="Times New Roman" w:cs="Times New Roman"/>
                <w:sz w:val="18"/>
                <w:szCs w:val="18"/>
              </w:rPr>
            </w:pPr>
            <w:r w:rsidRPr="004C2278">
              <w:rPr>
                <w:rFonts w:ascii="Times New Roman" w:hAnsi="Times New Roman" w:cs="Times New Roman"/>
                <w:sz w:val="18"/>
                <w:szCs w:val="18"/>
              </w:rPr>
              <w:t>Нумерация пункта 3.5 изменена на 3.6 со всеми подпунктами соответственно</w:t>
            </w:r>
          </w:p>
        </w:tc>
        <w:tc>
          <w:tcPr>
            <w:tcW w:w="2219" w:type="dxa"/>
          </w:tcPr>
          <w:p w14:paraId="6F1CFA5B" w14:textId="6F9F3EB6" w:rsidR="00444007" w:rsidRPr="004C2278" w:rsidRDefault="00E13E10" w:rsidP="00444007">
            <w:pPr>
              <w:rPr>
                <w:rFonts w:ascii="Times New Roman" w:hAnsi="Times New Roman" w:cs="Times New Roman"/>
              </w:rPr>
            </w:pPr>
            <w:r w:rsidRPr="00AA01E8">
              <w:rPr>
                <w:rFonts w:ascii="Times New Roman" w:hAnsi="Times New Roman" w:cs="Times New Roman"/>
                <w:sz w:val="18"/>
                <w:szCs w:val="18"/>
              </w:rPr>
              <w:t>Изменение нумерации.</w:t>
            </w:r>
          </w:p>
        </w:tc>
      </w:tr>
      <w:tr w:rsidR="00444007" w:rsidRPr="004C2278" w14:paraId="0524970D" w14:textId="77777777" w:rsidTr="004C2278">
        <w:tc>
          <w:tcPr>
            <w:tcW w:w="3563" w:type="dxa"/>
          </w:tcPr>
          <w:p w14:paraId="6BDCD60E" w14:textId="6ACB2906" w:rsidR="00F47A21" w:rsidRPr="004C2278" w:rsidRDefault="00F47A21"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4.3.6:</w:t>
            </w:r>
          </w:p>
          <w:p w14:paraId="649BE5BC" w14:textId="11381011" w:rsidR="00444007" w:rsidRPr="004C2278" w:rsidRDefault="00F47A21"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Тестирование Клиентов проводится на странице Компании в информационно-телекоммуникационной сети «Интернет», расположенной по адресу: </w:t>
            </w:r>
            <w:hyperlink r:id="rId10" w:history="1">
              <w:r w:rsidRPr="004C2278">
                <w:rPr>
                  <w:rStyle w:val="a4"/>
                  <w:rFonts w:ascii="Times New Roman" w:hAnsi="Times New Roman" w:cs="Times New Roman"/>
                  <w:sz w:val="18"/>
                  <w:szCs w:val="18"/>
                </w:rPr>
                <w:t>https://ukhorizon.</w:t>
              </w:r>
              <w:r w:rsidRPr="004C2278">
                <w:rPr>
                  <w:rStyle w:val="a4"/>
                  <w:rFonts w:ascii="Times New Roman" w:hAnsi="Times New Roman" w:cs="Times New Roman"/>
                  <w:sz w:val="18"/>
                  <w:szCs w:val="18"/>
                  <w:lang w:val="en-US"/>
                </w:rPr>
                <w:t>online</w:t>
              </w:r>
              <w:r w:rsidRPr="004C2278">
                <w:rPr>
                  <w:rStyle w:val="a4"/>
                  <w:rFonts w:ascii="Times New Roman" w:hAnsi="Times New Roman" w:cs="Times New Roman"/>
                  <w:sz w:val="18"/>
                  <w:szCs w:val="18"/>
                </w:rPr>
                <w:t>/</w:t>
              </w:r>
            </w:hyperlink>
            <w:r w:rsidRPr="004C2278">
              <w:rPr>
                <w:rFonts w:ascii="Times New Roman" w:hAnsi="Times New Roman" w:cs="Times New Roman"/>
                <w:sz w:val="18"/>
                <w:szCs w:val="18"/>
              </w:rPr>
              <w:t>, при этом перед началом тестирования Клиент должен ввести информацию о своей фамилии, имени, отчестве, о номере мобильного телефона и адресе электронной почты. Введенная информация о фамилии, имени, отчестве, номере мобильного телефона и адресе электронной почты должна совпадать с информацией, предоставленной Клиентом в Анкете. В случае, если какая-либо информация не совпадает, Компания не учитывает положительный результат тестирования как результат тестирования соответствующего Клиента.</w:t>
            </w:r>
          </w:p>
        </w:tc>
        <w:tc>
          <w:tcPr>
            <w:tcW w:w="3563" w:type="dxa"/>
          </w:tcPr>
          <w:p w14:paraId="120CD0D9" w14:textId="2B0A1604" w:rsidR="00F47A21" w:rsidRPr="004C2278" w:rsidRDefault="00F47A21"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4.3.6:</w:t>
            </w:r>
          </w:p>
          <w:p w14:paraId="4BC941A0" w14:textId="327FCF7B" w:rsidR="00444007" w:rsidRPr="004C2278" w:rsidRDefault="00F47A21"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Тестирование Клиентов проводится на странице Компании в информационно-телекоммуникационной сети «Интернет», расположенной по адресу: </w:t>
            </w:r>
            <w:hyperlink r:id="rId11" w:history="1">
              <w:r w:rsidRPr="004C2278">
                <w:rPr>
                  <w:rStyle w:val="a4"/>
                  <w:rFonts w:ascii="Times New Roman" w:hAnsi="Times New Roman" w:cs="Times New Roman"/>
                  <w:sz w:val="18"/>
                  <w:szCs w:val="18"/>
                </w:rPr>
                <w:t>https://</w:t>
              </w:r>
              <w:proofErr w:type="spellStart"/>
              <w:r w:rsidRPr="004C2278">
                <w:rPr>
                  <w:rStyle w:val="a4"/>
                  <w:rFonts w:ascii="Times New Roman" w:hAnsi="Times New Roman" w:cs="Times New Roman"/>
                  <w:sz w:val="18"/>
                  <w:szCs w:val="18"/>
                  <w:lang w:val="en-US"/>
                </w:rPr>
                <w:t>i</w:t>
              </w:r>
              <w:r w:rsidRPr="004C2278">
                <w:rPr>
                  <w:rStyle w:val="a4"/>
                  <w:rFonts w:ascii="Times New Roman" w:hAnsi="Times New Roman" w:cs="Times New Roman"/>
                  <w:sz w:val="18"/>
                  <w:szCs w:val="18"/>
                </w:rPr>
                <w:t>khorizon</w:t>
              </w:r>
              <w:proofErr w:type="spellEnd"/>
              <w:r w:rsidRPr="004C2278">
                <w:rPr>
                  <w:rStyle w:val="a4"/>
                  <w:rFonts w:ascii="Times New Roman" w:hAnsi="Times New Roman" w:cs="Times New Roman"/>
                  <w:sz w:val="18"/>
                  <w:szCs w:val="18"/>
                </w:rPr>
                <w:t>.</w:t>
              </w:r>
              <w:r w:rsidRPr="004C2278">
                <w:rPr>
                  <w:rStyle w:val="a4"/>
                  <w:rFonts w:ascii="Times New Roman" w:hAnsi="Times New Roman" w:cs="Times New Roman"/>
                  <w:sz w:val="18"/>
                  <w:szCs w:val="18"/>
                  <w:lang w:val="en-US"/>
                </w:rPr>
                <w:t>online</w:t>
              </w:r>
              <w:r w:rsidRPr="004C2278">
                <w:rPr>
                  <w:rStyle w:val="a4"/>
                  <w:rFonts w:ascii="Times New Roman" w:hAnsi="Times New Roman" w:cs="Times New Roman"/>
                  <w:sz w:val="18"/>
                  <w:szCs w:val="18"/>
                </w:rPr>
                <w:t>/</w:t>
              </w:r>
            </w:hyperlink>
            <w:r w:rsidRPr="004C2278">
              <w:rPr>
                <w:rFonts w:ascii="Times New Roman" w:hAnsi="Times New Roman" w:cs="Times New Roman"/>
                <w:sz w:val="18"/>
                <w:szCs w:val="18"/>
              </w:rPr>
              <w:t>, при этом перед началом тестирования Клиент должен ввести информацию о своей фамилии, имени, отчестве, о номере мобильного телефона и адресе электронной почты. Введенная информация о фамилии, имени, отчестве, номере мобильного телефона и адресе электронной почты должна совпадать с информацией, предоставленной Клиентом в Анкете. В случае, если какая-либо информация не совпадает, Компания не учитывает положительный результат тестирования как результат тестирования соответствующего Клиента.</w:t>
            </w:r>
          </w:p>
        </w:tc>
        <w:tc>
          <w:tcPr>
            <w:tcW w:w="2219" w:type="dxa"/>
          </w:tcPr>
          <w:p w14:paraId="02E77949" w14:textId="77777777" w:rsidR="00444007" w:rsidRPr="004C2278" w:rsidRDefault="00444007" w:rsidP="00444007">
            <w:pPr>
              <w:rPr>
                <w:rFonts w:ascii="Times New Roman" w:hAnsi="Times New Roman" w:cs="Times New Roman"/>
              </w:rPr>
            </w:pPr>
          </w:p>
        </w:tc>
      </w:tr>
      <w:tr w:rsidR="00444007" w:rsidRPr="004C2278" w14:paraId="4F28FE79" w14:textId="77777777" w:rsidTr="004C2278">
        <w:tc>
          <w:tcPr>
            <w:tcW w:w="3563" w:type="dxa"/>
          </w:tcPr>
          <w:p w14:paraId="3B9BD3F9" w14:textId="77777777"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4.8.1:</w:t>
            </w:r>
          </w:p>
          <w:p w14:paraId="18750B89" w14:textId="6903346B" w:rsidR="00444007" w:rsidRPr="004C2278" w:rsidRDefault="00F90AFE" w:rsidP="00203445">
            <w:pPr>
              <w:jc w:val="both"/>
              <w:rPr>
                <w:rFonts w:ascii="Times New Roman" w:hAnsi="Times New Roman" w:cs="Times New Roman"/>
                <w:sz w:val="18"/>
                <w:szCs w:val="18"/>
              </w:rPr>
            </w:pPr>
            <w:bookmarkStart w:id="11" w:name="_Hlk176859143"/>
            <w:r w:rsidRPr="004C2278">
              <w:rPr>
                <w:rFonts w:ascii="Times New Roman" w:hAnsi="Times New Roman" w:cs="Times New Roman"/>
                <w:sz w:val="18"/>
                <w:szCs w:val="18"/>
              </w:rPr>
              <w:t>4.8.1. В Режиме торгов ПАО Московская Биржа «Режим основных торгов Т+» заключаются сделки с ценными бумагами с отложенным исполнением</w:t>
            </w:r>
            <w:bookmarkEnd w:id="11"/>
            <w:r w:rsidRPr="004C2278">
              <w:rPr>
                <w:rFonts w:ascii="Times New Roman" w:hAnsi="Times New Roman" w:cs="Times New Roman"/>
                <w:sz w:val="18"/>
                <w:szCs w:val="18"/>
              </w:rPr>
              <w:t xml:space="preserve">. Исполнение по таким сделкам осуществляется в календарный день, определяемый в </w:t>
            </w:r>
            <w:r w:rsidRPr="004C2278">
              <w:rPr>
                <w:rFonts w:ascii="Times New Roman" w:hAnsi="Times New Roman" w:cs="Times New Roman"/>
                <w:sz w:val="18"/>
                <w:szCs w:val="18"/>
              </w:rPr>
              <w:lastRenderedPageBreak/>
              <w:t>соответствии с правилами соответствующей Торговой системы. Если соответствующий календарный день приходится на нерабочий день, то исполнение по такой сделке осуществляется в следующий за ним ближайший рабочий день.</w:t>
            </w:r>
          </w:p>
        </w:tc>
        <w:tc>
          <w:tcPr>
            <w:tcW w:w="3563" w:type="dxa"/>
          </w:tcPr>
          <w:p w14:paraId="03B9CC3C" w14:textId="2C898D3E" w:rsidR="00F47A21" w:rsidRPr="004C2278" w:rsidRDefault="00F47A21" w:rsidP="00203445">
            <w:pPr>
              <w:jc w:val="both"/>
              <w:rPr>
                <w:rFonts w:ascii="Times New Roman" w:hAnsi="Times New Roman" w:cs="Times New Roman"/>
                <w:sz w:val="18"/>
                <w:szCs w:val="18"/>
              </w:rPr>
            </w:pPr>
            <w:r w:rsidRPr="004C2278">
              <w:rPr>
                <w:rFonts w:ascii="Times New Roman" w:hAnsi="Times New Roman" w:cs="Times New Roman"/>
                <w:sz w:val="18"/>
                <w:szCs w:val="18"/>
              </w:rPr>
              <w:lastRenderedPageBreak/>
              <w:t>Пункт 4.8.1:</w:t>
            </w:r>
          </w:p>
          <w:p w14:paraId="5D484E06" w14:textId="37FA4341" w:rsidR="00444007"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4.8.1. Сделки с ценными бумагами, с отложенным исполнением заключаются в ходе торгов ценными бумагами на ПАО Московская Биржа в режиме торгов «Режим основных торгов Т+1». Исполнение по таким сделкам </w:t>
            </w:r>
            <w:r w:rsidRPr="004C2278">
              <w:rPr>
                <w:rFonts w:ascii="Times New Roman" w:hAnsi="Times New Roman" w:cs="Times New Roman"/>
                <w:sz w:val="18"/>
                <w:szCs w:val="18"/>
              </w:rPr>
              <w:lastRenderedPageBreak/>
              <w:t>осуществляется в календарный день, определяемый в соответствии с правилами соответствующей Торговой системы. Если соответствующий календарный день приходится на нерабочий день, то исполнение по такой сделке осуществляется в следующий за ним ближайший рабочий день.</w:t>
            </w:r>
          </w:p>
        </w:tc>
        <w:tc>
          <w:tcPr>
            <w:tcW w:w="2219" w:type="dxa"/>
          </w:tcPr>
          <w:p w14:paraId="39E6326B" w14:textId="77777777" w:rsidR="00444007" w:rsidRPr="004C2278" w:rsidRDefault="00444007" w:rsidP="00444007">
            <w:pPr>
              <w:rPr>
                <w:rFonts w:ascii="Times New Roman" w:hAnsi="Times New Roman" w:cs="Times New Roman"/>
              </w:rPr>
            </w:pPr>
          </w:p>
        </w:tc>
      </w:tr>
      <w:tr w:rsidR="00444007" w:rsidRPr="004C2278" w14:paraId="5BF7AAD0" w14:textId="77777777" w:rsidTr="004C2278">
        <w:tc>
          <w:tcPr>
            <w:tcW w:w="3563" w:type="dxa"/>
          </w:tcPr>
          <w:p w14:paraId="0DB2A4F5" w14:textId="7C42B376"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5.2.1:</w:t>
            </w:r>
          </w:p>
          <w:p w14:paraId="5B57F11E" w14:textId="70AAA2FF" w:rsidR="00444007"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5.2.1. Компания обязана предоставлять Клиенту следующую информацию об операциях по счету Клиента:</w:t>
            </w:r>
          </w:p>
        </w:tc>
        <w:tc>
          <w:tcPr>
            <w:tcW w:w="3563" w:type="dxa"/>
          </w:tcPr>
          <w:p w14:paraId="4292F233" w14:textId="7CE56836"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5.2.1:</w:t>
            </w:r>
          </w:p>
          <w:p w14:paraId="57CA0309" w14:textId="1722E0D2" w:rsidR="00444007"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5.2.1. Компания предоставляет Клиенту следующую информацию об операциях по счету Клиента:</w:t>
            </w:r>
          </w:p>
        </w:tc>
        <w:tc>
          <w:tcPr>
            <w:tcW w:w="2219" w:type="dxa"/>
          </w:tcPr>
          <w:p w14:paraId="7BE359C4" w14:textId="77777777" w:rsidR="00444007" w:rsidRPr="004C2278" w:rsidRDefault="00444007" w:rsidP="00444007">
            <w:pPr>
              <w:rPr>
                <w:rFonts w:ascii="Times New Roman" w:hAnsi="Times New Roman" w:cs="Times New Roman"/>
              </w:rPr>
            </w:pPr>
          </w:p>
        </w:tc>
      </w:tr>
      <w:tr w:rsidR="00444007" w:rsidRPr="004C2278" w14:paraId="26E5980C" w14:textId="77777777" w:rsidTr="004C2278">
        <w:tc>
          <w:tcPr>
            <w:tcW w:w="3563" w:type="dxa"/>
          </w:tcPr>
          <w:p w14:paraId="164EDA6E" w14:textId="77777777" w:rsidR="00444007"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Пункт 6.3: </w:t>
            </w:r>
          </w:p>
          <w:p w14:paraId="13051094" w14:textId="1916A62A"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6.3. Право пользования ПО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предоставляется путем присоединения к </w:t>
            </w:r>
            <w:proofErr w:type="spellStart"/>
            <w:r w:rsidRPr="004C2278">
              <w:rPr>
                <w:rFonts w:ascii="Times New Roman" w:hAnsi="Times New Roman" w:cs="Times New Roman"/>
                <w:sz w:val="18"/>
                <w:szCs w:val="18"/>
              </w:rPr>
              <w:t>сублицензионному</w:t>
            </w:r>
            <w:proofErr w:type="spellEnd"/>
            <w:r w:rsidRPr="004C2278">
              <w:rPr>
                <w:rFonts w:ascii="Times New Roman" w:hAnsi="Times New Roman" w:cs="Times New Roman"/>
                <w:sz w:val="18"/>
                <w:szCs w:val="18"/>
              </w:rPr>
              <w:t xml:space="preserve"> договору на использование программного обеспечения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условия которого изложены в Приложении № 11 к настоящему Регламенту.</w:t>
            </w:r>
          </w:p>
        </w:tc>
        <w:tc>
          <w:tcPr>
            <w:tcW w:w="3563" w:type="dxa"/>
          </w:tcPr>
          <w:p w14:paraId="1BC10724" w14:textId="77777777"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Пункт 6.3: </w:t>
            </w:r>
          </w:p>
          <w:p w14:paraId="4459BCA2" w14:textId="61A6465C" w:rsidR="00444007"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6.3. Право пользования ПО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предоставляется путем присоединения к </w:t>
            </w:r>
            <w:proofErr w:type="spellStart"/>
            <w:r w:rsidRPr="004C2278">
              <w:rPr>
                <w:rFonts w:ascii="Times New Roman" w:hAnsi="Times New Roman" w:cs="Times New Roman"/>
                <w:sz w:val="18"/>
                <w:szCs w:val="18"/>
              </w:rPr>
              <w:t>сублицензионному</w:t>
            </w:r>
            <w:proofErr w:type="spellEnd"/>
            <w:r w:rsidRPr="004C2278">
              <w:rPr>
                <w:rFonts w:ascii="Times New Roman" w:hAnsi="Times New Roman" w:cs="Times New Roman"/>
                <w:sz w:val="18"/>
                <w:szCs w:val="18"/>
              </w:rPr>
              <w:t xml:space="preserve"> договору на использование программного обеспечения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условия которого изложены в Приложении № 10 к настоящему Регламенту.</w:t>
            </w:r>
          </w:p>
        </w:tc>
        <w:tc>
          <w:tcPr>
            <w:tcW w:w="2219" w:type="dxa"/>
          </w:tcPr>
          <w:p w14:paraId="41A6610A" w14:textId="77777777" w:rsidR="00444007" w:rsidRPr="004C2278" w:rsidRDefault="00444007" w:rsidP="00444007">
            <w:pPr>
              <w:rPr>
                <w:rFonts w:ascii="Times New Roman" w:hAnsi="Times New Roman" w:cs="Times New Roman"/>
              </w:rPr>
            </w:pPr>
          </w:p>
        </w:tc>
      </w:tr>
      <w:tr w:rsidR="00444007" w:rsidRPr="004C2278" w14:paraId="29FE0BB8" w14:textId="77777777" w:rsidTr="004C2278">
        <w:tc>
          <w:tcPr>
            <w:tcW w:w="3563" w:type="dxa"/>
          </w:tcPr>
          <w:p w14:paraId="2CEA612A" w14:textId="77777777" w:rsidR="00444007"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6.8:</w:t>
            </w:r>
          </w:p>
          <w:p w14:paraId="3559D821" w14:textId="77777777" w:rsidR="00F90AFE" w:rsidRPr="004C2278" w:rsidRDefault="00F90AFE" w:rsidP="00203445">
            <w:pPr>
              <w:spacing w:after="60"/>
              <w:ind w:left="720"/>
              <w:jc w:val="both"/>
              <w:rPr>
                <w:rFonts w:ascii="Times New Roman" w:hAnsi="Times New Roman" w:cs="Times New Roman"/>
                <w:sz w:val="18"/>
                <w:szCs w:val="18"/>
              </w:rPr>
            </w:pPr>
            <w:r w:rsidRPr="004C2278">
              <w:rPr>
                <w:rFonts w:ascii="Times New Roman" w:hAnsi="Times New Roman" w:cs="Times New Roman"/>
                <w:sz w:val="18"/>
                <w:szCs w:val="18"/>
              </w:rPr>
              <w:t xml:space="preserve">Для создания учетной записи представитель Клиента-юридического лица направляет в Компанию Заявление о создании учетной записи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представителя (Приложение № 11.1 к Регламенту) и указывает конкретный вид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которое будет использоваться с этой учетной записью, при этом вид указанного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должен соответствовать количеству имеющихся у Клиента-юридического лица лицензий. Такое заявление направляется с адреса электронной почты представителя Клиента-юридического лица, указанного в его анкете, на адрес электронной почты Компании, указанный в Приложении № 11.1 к Регламенту.</w:t>
            </w:r>
          </w:p>
          <w:p w14:paraId="0E0F9E23" w14:textId="77777777"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Для создания учетной записи представитель Клиента-физического лица направляет в Компанию Заявление о создании учетной записи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(Приложение № 11.1 к Регламенту) и указывает конкретный вид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которое будет использоваться с этой учетной записью, при этом вид указанного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должен соответствовать количеству имеющихся у Клиента-физического лица лицензий. Такое заявление направляется с адреса электронной почты представителя Клиента-физического лица, указанного в его анкете, на адрес электронной почты Компании, указанный в Приложении № 11.1 к Регламенту.</w:t>
            </w:r>
          </w:p>
          <w:p w14:paraId="3020813C" w14:textId="08325BA4"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После создания учетной записи и присвоения соответствующему рабочему месту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w:t>
            </w:r>
            <w:r w:rsidRPr="004C2278">
              <w:rPr>
                <w:rFonts w:ascii="Times New Roman" w:hAnsi="Times New Roman" w:cs="Times New Roman"/>
                <w:sz w:val="18"/>
                <w:szCs w:val="18"/>
                <w:lang w:val="en-US"/>
              </w:rPr>
              <w:t>UID</w:t>
            </w:r>
            <w:r w:rsidRPr="004C2278">
              <w:rPr>
                <w:rFonts w:ascii="Times New Roman" w:hAnsi="Times New Roman" w:cs="Times New Roman"/>
                <w:sz w:val="18"/>
                <w:szCs w:val="18"/>
              </w:rPr>
              <w:t>, Компания передает заявителю логин (имя пользователя) и одноразовый пароль для входа в учетную запись в офисе Компании.</w:t>
            </w:r>
          </w:p>
        </w:tc>
        <w:tc>
          <w:tcPr>
            <w:tcW w:w="3563" w:type="dxa"/>
          </w:tcPr>
          <w:p w14:paraId="725EDED9" w14:textId="77777777" w:rsidR="00F90AFE" w:rsidRPr="004C2278" w:rsidRDefault="00F90AFE"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6.8:</w:t>
            </w:r>
          </w:p>
          <w:p w14:paraId="59329BE1" w14:textId="77777777" w:rsidR="00F90AFE" w:rsidRPr="004C2278" w:rsidRDefault="00F90AFE" w:rsidP="00203445">
            <w:pPr>
              <w:spacing w:after="60"/>
              <w:ind w:left="26"/>
              <w:jc w:val="both"/>
              <w:rPr>
                <w:rFonts w:ascii="Times New Roman" w:hAnsi="Times New Roman" w:cs="Times New Roman"/>
                <w:sz w:val="18"/>
                <w:szCs w:val="18"/>
              </w:rPr>
            </w:pPr>
            <w:r w:rsidRPr="004C2278">
              <w:rPr>
                <w:rFonts w:ascii="Times New Roman" w:hAnsi="Times New Roman" w:cs="Times New Roman"/>
                <w:sz w:val="18"/>
                <w:szCs w:val="18"/>
              </w:rPr>
              <w:t xml:space="preserve">Для создания учетной записи представитель Клиента-юридического лица направляет в Компанию Заявление о создании учетной записи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представителя (Приложение № 11 к Регламенту) и указывает конкретный вид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которое будет использоваться с этой учетной записью, при этом вид указанного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должен соответствовать количеству имеющихся у Клиента-юридического лица лицензий. Такое заявление направляется с адреса электронной почты представителя Клиента-юридического лица, указанного в его анкете, на адрес электронной почты Компании, указанный в </w:t>
            </w:r>
            <w:proofErr w:type="spellStart"/>
            <w:r w:rsidRPr="004C2278">
              <w:rPr>
                <w:rFonts w:ascii="Times New Roman" w:hAnsi="Times New Roman" w:cs="Times New Roman"/>
                <w:sz w:val="18"/>
                <w:szCs w:val="18"/>
              </w:rPr>
              <w:t>п.п</w:t>
            </w:r>
            <w:proofErr w:type="spellEnd"/>
            <w:r w:rsidRPr="004C2278">
              <w:rPr>
                <w:rFonts w:ascii="Times New Roman" w:hAnsi="Times New Roman" w:cs="Times New Roman"/>
                <w:sz w:val="18"/>
                <w:szCs w:val="18"/>
              </w:rPr>
              <w:t>. 1.3.5 п.3Регламента.</w:t>
            </w:r>
          </w:p>
          <w:p w14:paraId="2C4F40C2" w14:textId="77777777" w:rsidR="00444007" w:rsidRPr="004C2278" w:rsidRDefault="00F90AFE" w:rsidP="00203445">
            <w:pPr>
              <w:ind w:left="26"/>
              <w:jc w:val="both"/>
              <w:rPr>
                <w:rFonts w:ascii="Times New Roman" w:hAnsi="Times New Roman" w:cs="Times New Roman"/>
                <w:sz w:val="18"/>
                <w:szCs w:val="18"/>
              </w:rPr>
            </w:pPr>
            <w:r w:rsidRPr="004C2278">
              <w:rPr>
                <w:rFonts w:ascii="Times New Roman" w:hAnsi="Times New Roman" w:cs="Times New Roman"/>
                <w:sz w:val="18"/>
                <w:szCs w:val="18"/>
              </w:rPr>
              <w:t xml:space="preserve">Для создания учетной записи представитель Клиента-физического лица направляет в Компанию Заявление о создании учетной записи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(Приложение № 11 к Регламенту) и указывает конкретный вид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которое будет использоваться с этой учетной записью, при этом вид указанного рабочего места </w:t>
            </w:r>
            <w:r w:rsidRPr="004C2278">
              <w:rPr>
                <w:rFonts w:ascii="Times New Roman" w:hAnsi="Times New Roman" w:cs="Times New Roman"/>
                <w:sz w:val="18"/>
                <w:szCs w:val="18"/>
                <w:lang w:val="en-US"/>
              </w:rPr>
              <w:t>QUIK</w:t>
            </w:r>
            <w:r w:rsidRPr="004C2278">
              <w:rPr>
                <w:rFonts w:ascii="Times New Roman" w:hAnsi="Times New Roman" w:cs="Times New Roman"/>
                <w:sz w:val="18"/>
                <w:szCs w:val="18"/>
              </w:rPr>
              <w:t xml:space="preserve"> должен соответствовать количеству имеющихся у Клиента-физического лица лицензий. Такое заявление направляется с адреса электронной почты представителя Клиента-физического лица, указанного в его анкете, на адрес электронной почты Компании, указанный в </w:t>
            </w:r>
            <w:proofErr w:type="spellStart"/>
            <w:r w:rsidRPr="004C2278">
              <w:rPr>
                <w:rFonts w:ascii="Times New Roman" w:hAnsi="Times New Roman" w:cs="Times New Roman"/>
                <w:sz w:val="18"/>
                <w:szCs w:val="18"/>
              </w:rPr>
              <w:t>п.п</w:t>
            </w:r>
            <w:proofErr w:type="spellEnd"/>
            <w:r w:rsidRPr="004C2278">
              <w:rPr>
                <w:rFonts w:ascii="Times New Roman" w:hAnsi="Times New Roman" w:cs="Times New Roman"/>
                <w:sz w:val="18"/>
                <w:szCs w:val="18"/>
              </w:rPr>
              <w:t>. 1.3.5 п.</w:t>
            </w:r>
            <w:proofErr w:type="gramStart"/>
            <w:r w:rsidRPr="004C2278">
              <w:rPr>
                <w:rFonts w:ascii="Times New Roman" w:hAnsi="Times New Roman" w:cs="Times New Roman"/>
                <w:sz w:val="18"/>
                <w:szCs w:val="18"/>
              </w:rPr>
              <w:t>3  Регламента</w:t>
            </w:r>
            <w:proofErr w:type="gramEnd"/>
            <w:r w:rsidRPr="004C2278">
              <w:rPr>
                <w:rFonts w:ascii="Times New Roman" w:hAnsi="Times New Roman" w:cs="Times New Roman"/>
                <w:sz w:val="18"/>
                <w:szCs w:val="18"/>
              </w:rPr>
              <w:t>.</w:t>
            </w:r>
          </w:p>
          <w:p w14:paraId="6A0A9C0F" w14:textId="26DE63B1" w:rsidR="00F90AFE" w:rsidRPr="004C2278" w:rsidRDefault="008B266D" w:rsidP="00203445">
            <w:pPr>
              <w:ind w:left="26"/>
              <w:jc w:val="both"/>
              <w:rPr>
                <w:rFonts w:ascii="Times New Roman" w:hAnsi="Times New Roman" w:cs="Times New Roman"/>
                <w:sz w:val="18"/>
                <w:szCs w:val="18"/>
              </w:rPr>
            </w:pPr>
            <w:r w:rsidRPr="004C2278">
              <w:rPr>
                <w:rFonts w:ascii="Times New Roman" w:hAnsi="Times New Roman" w:cs="Times New Roman"/>
                <w:sz w:val="18"/>
                <w:szCs w:val="18"/>
              </w:rPr>
              <w:t xml:space="preserve">После создания учетной записи и присвоения соответствующему рабочему месту QUIK UID, Компания передает заявителю логин (имя пользователя) и одноразовый пароль для входа в учетную запись. Логин (имя пользователя) и пароль высылаются в виде СМС на номер мобильного телефона соответствующего физического лица либо направляются по адресу его электронной почты. При направлении логина и пароля заявителю-представителю Клиента Компания использует его номер мобильного телефона либо адрес его электронной </w:t>
            </w:r>
            <w:r w:rsidRPr="004C2278">
              <w:rPr>
                <w:rFonts w:ascii="Times New Roman" w:hAnsi="Times New Roman" w:cs="Times New Roman"/>
                <w:sz w:val="18"/>
                <w:szCs w:val="18"/>
              </w:rPr>
              <w:lastRenderedPageBreak/>
              <w:t>почты, указанный в его анкете, а при направлении Клиенту-физическому лицу - использует номер мобильного телефона либо адрес электронной почты, указанный в его анкете либо предоставленный Клиентом путем передачи в Компанию Заявления о добавлении/исключении номера телефона, адреса электронной почты (Приложение № 1.5 к Регламенту).</w:t>
            </w:r>
          </w:p>
        </w:tc>
        <w:tc>
          <w:tcPr>
            <w:tcW w:w="2219" w:type="dxa"/>
          </w:tcPr>
          <w:p w14:paraId="3411CD4E" w14:textId="77777777" w:rsidR="00444007" w:rsidRPr="004C2278" w:rsidRDefault="00444007" w:rsidP="00444007">
            <w:pPr>
              <w:rPr>
                <w:rFonts w:ascii="Times New Roman" w:hAnsi="Times New Roman" w:cs="Times New Roman"/>
              </w:rPr>
            </w:pPr>
          </w:p>
        </w:tc>
      </w:tr>
      <w:tr w:rsidR="008B266D" w:rsidRPr="004C2278" w14:paraId="3063C380" w14:textId="77777777" w:rsidTr="004C2278">
        <w:tc>
          <w:tcPr>
            <w:tcW w:w="3563" w:type="dxa"/>
          </w:tcPr>
          <w:p w14:paraId="549AD90C" w14:textId="77777777" w:rsidR="008B266D" w:rsidRPr="004C2278" w:rsidRDefault="008B266D"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6.8:</w:t>
            </w:r>
          </w:p>
          <w:p w14:paraId="2C0D5726" w14:textId="77777777" w:rsidR="008B266D" w:rsidRPr="004C2278" w:rsidRDefault="008B266D" w:rsidP="00203445">
            <w:pPr>
              <w:spacing w:after="60"/>
              <w:ind w:left="26"/>
              <w:jc w:val="both"/>
              <w:rPr>
                <w:rFonts w:ascii="Times New Roman" w:hAnsi="Times New Roman" w:cs="Times New Roman"/>
                <w:sz w:val="18"/>
                <w:szCs w:val="18"/>
              </w:rPr>
            </w:pPr>
            <w:r w:rsidRPr="004C2278">
              <w:rPr>
                <w:rFonts w:ascii="Times New Roman" w:hAnsi="Times New Roman" w:cs="Times New Roman"/>
                <w:sz w:val="18"/>
                <w:szCs w:val="18"/>
              </w:rPr>
              <w:t>Учетная запись Клиента–физического лица аннулируется в следующих случаях:</w:t>
            </w:r>
          </w:p>
          <w:p w14:paraId="16D529F2" w14:textId="77777777" w:rsidR="008B266D" w:rsidRPr="004C2278" w:rsidRDefault="008B266D" w:rsidP="00203445">
            <w:pPr>
              <w:pStyle w:val="a5"/>
              <w:numPr>
                <w:ilvl w:val="0"/>
                <w:numId w:val="5"/>
              </w:numPr>
              <w:spacing w:after="60"/>
              <w:ind w:left="309"/>
              <w:contextualSpacing w:val="0"/>
              <w:jc w:val="both"/>
              <w:rPr>
                <w:rFonts w:ascii="Times New Roman" w:hAnsi="Times New Roman" w:cs="Times New Roman"/>
                <w:sz w:val="18"/>
                <w:szCs w:val="18"/>
              </w:rPr>
            </w:pPr>
            <w:r w:rsidRPr="004C2278">
              <w:rPr>
                <w:rFonts w:ascii="Times New Roman" w:hAnsi="Times New Roman" w:cs="Times New Roman"/>
                <w:sz w:val="18"/>
                <w:szCs w:val="18"/>
              </w:rPr>
              <w:t>прекращение Договора о брокерском обслуживании, в рамках которого Клиенту была зарегистрирована учетная запись;</w:t>
            </w:r>
          </w:p>
          <w:p w14:paraId="0AB6D3ED" w14:textId="49AA42A4" w:rsidR="008B266D" w:rsidRPr="004C2278" w:rsidRDefault="008B266D" w:rsidP="00203445">
            <w:pPr>
              <w:pStyle w:val="a5"/>
              <w:numPr>
                <w:ilvl w:val="0"/>
                <w:numId w:val="5"/>
              </w:numPr>
              <w:spacing w:after="60"/>
              <w:ind w:left="309"/>
              <w:contextualSpacing w:val="0"/>
              <w:jc w:val="both"/>
              <w:rPr>
                <w:rFonts w:ascii="Times New Roman" w:hAnsi="Times New Roman" w:cs="Times New Roman"/>
                <w:sz w:val="18"/>
                <w:szCs w:val="18"/>
              </w:rPr>
            </w:pPr>
            <w:r w:rsidRPr="004C2278">
              <w:rPr>
                <w:rFonts w:ascii="Times New Roman" w:hAnsi="Times New Roman" w:cs="Times New Roman"/>
                <w:sz w:val="18"/>
                <w:szCs w:val="18"/>
              </w:rPr>
              <w:t xml:space="preserve">прекращение </w:t>
            </w:r>
            <w:proofErr w:type="spellStart"/>
            <w:r w:rsidRPr="004C2278">
              <w:rPr>
                <w:rFonts w:ascii="Times New Roman" w:hAnsi="Times New Roman" w:cs="Times New Roman"/>
                <w:sz w:val="18"/>
                <w:szCs w:val="18"/>
              </w:rPr>
              <w:t>Сублицензионного</w:t>
            </w:r>
            <w:proofErr w:type="spellEnd"/>
            <w:r w:rsidRPr="004C2278">
              <w:rPr>
                <w:rFonts w:ascii="Times New Roman" w:hAnsi="Times New Roman" w:cs="Times New Roman"/>
                <w:sz w:val="18"/>
                <w:szCs w:val="18"/>
              </w:rPr>
              <w:t xml:space="preserve"> договора (Приложение № 11 к Регламенту);</w:t>
            </w:r>
          </w:p>
          <w:p w14:paraId="05CF0593" w14:textId="22ECE89E" w:rsidR="008B266D" w:rsidRPr="004C2278" w:rsidRDefault="008B266D" w:rsidP="00203445">
            <w:pPr>
              <w:jc w:val="both"/>
              <w:rPr>
                <w:rFonts w:ascii="Times New Roman" w:hAnsi="Times New Roman" w:cs="Times New Roman"/>
                <w:sz w:val="18"/>
                <w:szCs w:val="18"/>
              </w:rPr>
            </w:pPr>
            <w:r w:rsidRPr="004C2278">
              <w:rPr>
                <w:rFonts w:ascii="Times New Roman" w:hAnsi="Times New Roman" w:cs="Times New Roman"/>
                <w:sz w:val="18"/>
                <w:szCs w:val="18"/>
              </w:rPr>
              <w:t>истечение шести месяцев с даты блокирования учетной записи Клиента;</w:t>
            </w:r>
          </w:p>
        </w:tc>
        <w:tc>
          <w:tcPr>
            <w:tcW w:w="3563" w:type="dxa"/>
          </w:tcPr>
          <w:p w14:paraId="5385840A" w14:textId="77777777" w:rsidR="008B266D" w:rsidRPr="004C2278" w:rsidRDefault="008B266D"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6.8:</w:t>
            </w:r>
          </w:p>
          <w:p w14:paraId="29051274" w14:textId="77777777" w:rsidR="008B266D" w:rsidRPr="004C2278" w:rsidRDefault="008B266D" w:rsidP="00203445">
            <w:pPr>
              <w:spacing w:after="60"/>
              <w:ind w:left="26"/>
              <w:jc w:val="both"/>
              <w:rPr>
                <w:rFonts w:ascii="Times New Roman" w:hAnsi="Times New Roman" w:cs="Times New Roman"/>
                <w:sz w:val="18"/>
                <w:szCs w:val="18"/>
              </w:rPr>
            </w:pPr>
            <w:r w:rsidRPr="004C2278">
              <w:rPr>
                <w:rFonts w:ascii="Times New Roman" w:hAnsi="Times New Roman" w:cs="Times New Roman"/>
                <w:sz w:val="18"/>
                <w:szCs w:val="18"/>
              </w:rPr>
              <w:t>Учетная запись Клиента–физического лица аннулируется в следующих случаях:</w:t>
            </w:r>
          </w:p>
          <w:p w14:paraId="42A1BA84" w14:textId="77777777" w:rsidR="008B266D" w:rsidRPr="004C2278" w:rsidRDefault="008B266D" w:rsidP="00203445">
            <w:pPr>
              <w:pStyle w:val="a5"/>
              <w:numPr>
                <w:ilvl w:val="0"/>
                <w:numId w:val="5"/>
              </w:numPr>
              <w:spacing w:after="60"/>
              <w:ind w:left="309"/>
              <w:contextualSpacing w:val="0"/>
              <w:jc w:val="both"/>
              <w:rPr>
                <w:rFonts w:ascii="Times New Roman" w:hAnsi="Times New Roman" w:cs="Times New Roman"/>
                <w:sz w:val="18"/>
                <w:szCs w:val="18"/>
              </w:rPr>
            </w:pPr>
            <w:r w:rsidRPr="004C2278">
              <w:rPr>
                <w:rFonts w:ascii="Times New Roman" w:hAnsi="Times New Roman" w:cs="Times New Roman"/>
                <w:sz w:val="18"/>
                <w:szCs w:val="18"/>
              </w:rPr>
              <w:t>прекращение Договора о брокерском обслуживании, в рамках которого Клиенту была зарегистрирована учетная запись;</w:t>
            </w:r>
          </w:p>
          <w:p w14:paraId="517D33A4" w14:textId="77777777" w:rsidR="008B266D" w:rsidRPr="004C2278" w:rsidRDefault="008B266D" w:rsidP="00203445">
            <w:pPr>
              <w:pStyle w:val="a5"/>
              <w:numPr>
                <w:ilvl w:val="0"/>
                <w:numId w:val="5"/>
              </w:numPr>
              <w:spacing w:after="60"/>
              <w:ind w:left="309"/>
              <w:contextualSpacing w:val="0"/>
              <w:jc w:val="both"/>
              <w:rPr>
                <w:rFonts w:ascii="Times New Roman" w:hAnsi="Times New Roman" w:cs="Times New Roman"/>
                <w:sz w:val="18"/>
                <w:szCs w:val="18"/>
              </w:rPr>
            </w:pPr>
            <w:r w:rsidRPr="004C2278">
              <w:rPr>
                <w:rFonts w:ascii="Times New Roman" w:hAnsi="Times New Roman" w:cs="Times New Roman"/>
                <w:sz w:val="18"/>
                <w:szCs w:val="18"/>
              </w:rPr>
              <w:t xml:space="preserve">прекращение </w:t>
            </w:r>
            <w:proofErr w:type="spellStart"/>
            <w:r w:rsidRPr="004C2278">
              <w:rPr>
                <w:rFonts w:ascii="Times New Roman" w:hAnsi="Times New Roman" w:cs="Times New Roman"/>
                <w:sz w:val="18"/>
                <w:szCs w:val="18"/>
              </w:rPr>
              <w:t>Сублицензионного</w:t>
            </w:r>
            <w:proofErr w:type="spellEnd"/>
            <w:r w:rsidRPr="004C2278">
              <w:rPr>
                <w:rFonts w:ascii="Times New Roman" w:hAnsi="Times New Roman" w:cs="Times New Roman"/>
                <w:sz w:val="18"/>
                <w:szCs w:val="18"/>
              </w:rPr>
              <w:t xml:space="preserve"> договора (Приложение № 10 к Регламенту);</w:t>
            </w:r>
          </w:p>
          <w:p w14:paraId="72158D60" w14:textId="70CF8D13" w:rsidR="008B266D" w:rsidRPr="004C2278" w:rsidRDefault="008B266D" w:rsidP="00203445">
            <w:pPr>
              <w:pStyle w:val="a5"/>
              <w:numPr>
                <w:ilvl w:val="0"/>
                <w:numId w:val="5"/>
              </w:numPr>
              <w:spacing w:after="60"/>
              <w:ind w:left="309"/>
              <w:contextualSpacing w:val="0"/>
              <w:jc w:val="both"/>
              <w:rPr>
                <w:rFonts w:ascii="Times New Roman" w:hAnsi="Times New Roman" w:cs="Times New Roman"/>
                <w:sz w:val="18"/>
                <w:szCs w:val="18"/>
              </w:rPr>
            </w:pPr>
            <w:r w:rsidRPr="004C2278">
              <w:rPr>
                <w:rFonts w:ascii="Times New Roman" w:hAnsi="Times New Roman" w:cs="Times New Roman"/>
                <w:sz w:val="18"/>
                <w:szCs w:val="18"/>
              </w:rPr>
              <w:t>истечение шести месяцев с даты блокирования учетной записи Клиента;</w:t>
            </w:r>
          </w:p>
        </w:tc>
        <w:tc>
          <w:tcPr>
            <w:tcW w:w="2219" w:type="dxa"/>
          </w:tcPr>
          <w:p w14:paraId="3FDD85D3" w14:textId="77777777" w:rsidR="008B266D" w:rsidRPr="004C2278" w:rsidRDefault="008B266D" w:rsidP="00444007">
            <w:pPr>
              <w:rPr>
                <w:rFonts w:ascii="Times New Roman" w:hAnsi="Times New Roman" w:cs="Times New Roman"/>
              </w:rPr>
            </w:pPr>
          </w:p>
        </w:tc>
      </w:tr>
      <w:tr w:rsidR="00D14053" w:rsidRPr="004C2278" w14:paraId="1C0B4423" w14:textId="77777777" w:rsidTr="004C2278">
        <w:tc>
          <w:tcPr>
            <w:tcW w:w="3563" w:type="dxa"/>
          </w:tcPr>
          <w:p w14:paraId="0200664F" w14:textId="77777777" w:rsidR="00D14053" w:rsidRPr="004C2278" w:rsidRDefault="00D14053"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7.2.1:</w:t>
            </w:r>
          </w:p>
          <w:p w14:paraId="745D12EA" w14:textId="32BB160D" w:rsidR="00D14053" w:rsidRPr="004C2278" w:rsidRDefault="00D14053" w:rsidP="00203445">
            <w:pPr>
              <w:spacing w:after="60"/>
              <w:jc w:val="both"/>
              <w:rPr>
                <w:rFonts w:ascii="Times New Roman" w:hAnsi="Times New Roman" w:cs="Times New Roman"/>
                <w:sz w:val="18"/>
                <w:szCs w:val="18"/>
              </w:rPr>
            </w:pPr>
            <w:r w:rsidRPr="004C2278">
              <w:rPr>
                <w:rFonts w:ascii="Times New Roman" w:hAnsi="Times New Roman" w:cs="Times New Roman"/>
                <w:sz w:val="18"/>
                <w:szCs w:val="18"/>
              </w:rPr>
              <w:t>7.2.1. Инвестиционная деятельность с ценными бумагами сопряжена с рисками, поэтому Клиенту, перед заключением Договора о брокерском обслуживании, необходимо внимательно ознакомиться с декларацией об общих рисках, связанных с осуществлением операций на рынке ценных бумаг, декларацией о рисках маржинальных и непокрытых сделок, декларацией о рисках операций с производными финансовыми инструментами, декларацией о рисках, связанных с приобретением иностранных ценных бумаг, декларацией о рисках, связанных с приобретением иностранных облигаций, декларацией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декларацией о рисках, связанных с приобретением векселей, декларацией о рисках, связанных с индивидуальными инвестиционными счетами, с уведомлением об общем характера и/или источниках конфликта интересов, уведомлением о рисках использования брокером в своих интересах денежных средств и/или ценных бумаг клиентов, уведомлением о запрете на осуществление действий, относящихся к манипулированию рынком, и ограничениях на использование инсайдерской информации и манипулирование рынком, иной информацией, приведенной в Приложении № 1.1 к Регламенту.</w:t>
            </w:r>
          </w:p>
        </w:tc>
        <w:tc>
          <w:tcPr>
            <w:tcW w:w="3563" w:type="dxa"/>
          </w:tcPr>
          <w:p w14:paraId="2E05E392" w14:textId="77777777" w:rsidR="00D14053" w:rsidRPr="004C2278" w:rsidRDefault="00D14053" w:rsidP="00203445">
            <w:pPr>
              <w:jc w:val="both"/>
              <w:rPr>
                <w:rFonts w:ascii="Times New Roman" w:hAnsi="Times New Roman" w:cs="Times New Roman"/>
                <w:sz w:val="18"/>
                <w:szCs w:val="18"/>
              </w:rPr>
            </w:pPr>
            <w:r w:rsidRPr="004C2278">
              <w:rPr>
                <w:rFonts w:ascii="Times New Roman" w:hAnsi="Times New Roman" w:cs="Times New Roman"/>
                <w:sz w:val="18"/>
                <w:szCs w:val="18"/>
              </w:rPr>
              <w:t>Пункт 7.2.1:</w:t>
            </w:r>
          </w:p>
          <w:p w14:paraId="31AB8808" w14:textId="4BFDD31C" w:rsidR="00D14053" w:rsidRPr="004C2278" w:rsidRDefault="00D14053" w:rsidP="00203445">
            <w:pPr>
              <w:spacing w:after="60"/>
              <w:jc w:val="both"/>
              <w:rPr>
                <w:rFonts w:ascii="Times New Roman" w:hAnsi="Times New Roman" w:cs="Times New Roman"/>
                <w:sz w:val="18"/>
                <w:szCs w:val="18"/>
              </w:rPr>
            </w:pPr>
            <w:r w:rsidRPr="004C2278">
              <w:rPr>
                <w:rFonts w:ascii="Times New Roman" w:hAnsi="Times New Roman" w:cs="Times New Roman"/>
                <w:sz w:val="18"/>
                <w:szCs w:val="18"/>
              </w:rPr>
              <w:t xml:space="preserve">7.2.1. Инвестиционная деятельность с ценными бумагами сопряжена с рисками, поэтому Клиенту, перед заключением Договора о брокерском обслуживании, необходимо внимательно ознакомиться </w:t>
            </w:r>
            <w:proofErr w:type="spellStart"/>
            <w:r w:rsidRPr="004C2278">
              <w:rPr>
                <w:rFonts w:ascii="Times New Roman" w:hAnsi="Times New Roman" w:cs="Times New Roman"/>
                <w:sz w:val="18"/>
                <w:szCs w:val="18"/>
              </w:rPr>
              <w:t>сдекларацией</w:t>
            </w:r>
            <w:proofErr w:type="spellEnd"/>
            <w:r w:rsidRPr="004C2278">
              <w:rPr>
                <w:rFonts w:ascii="Times New Roman" w:hAnsi="Times New Roman" w:cs="Times New Roman"/>
                <w:sz w:val="18"/>
                <w:szCs w:val="18"/>
              </w:rPr>
              <w:t xml:space="preserve"> об общих рисках, связанных с осуществлением операций на рынке ценных бумаг, декларацией о рисках маржинальных и непокрытых сделок, декларацией о рисках операций с производными финансовыми инструментами, декларацией о рисках, связанных с приобретением иностранных ценных бумаг, декларацией о рисках, связанных с приобретением иностранных облигаций, декларацией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декларацией о рисках, связанных с индивидуальными инвестиционными счетами, с уведомлением об общем характера и/или источниках конфликта интересов, уведомлением о рисках использования брокером в своих интересах денежных средств и/или ценных бумаг клиентов, уведомлением о запрете на осуществление действий, относящихся к манипулированию рынком, и ограничениях на использование инсайдерской информации и манипулирование рынком, иной информацией, приведенной в Приложении № 1.1 к Регламенту.</w:t>
            </w:r>
          </w:p>
        </w:tc>
        <w:tc>
          <w:tcPr>
            <w:tcW w:w="2219" w:type="dxa"/>
          </w:tcPr>
          <w:p w14:paraId="1C8E5979" w14:textId="77777777" w:rsidR="00D14053" w:rsidRPr="004C2278" w:rsidRDefault="00D14053" w:rsidP="00D14053">
            <w:pPr>
              <w:rPr>
                <w:rFonts w:ascii="Times New Roman" w:hAnsi="Times New Roman" w:cs="Times New Roman"/>
              </w:rPr>
            </w:pPr>
          </w:p>
        </w:tc>
      </w:tr>
      <w:tr w:rsidR="00D14053" w:rsidRPr="004C2278" w14:paraId="29739A23" w14:textId="77777777" w:rsidTr="004C2278">
        <w:tc>
          <w:tcPr>
            <w:tcW w:w="3563" w:type="dxa"/>
          </w:tcPr>
          <w:p w14:paraId="3ED5207B" w14:textId="77777777" w:rsidR="00D14053" w:rsidRPr="004C2278" w:rsidRDefault="00C9075A" w:rsidP="00203445">
            <w:pPr>
              <w:jc w:val="both"/>
              <w:rPr>
                <w:rFonts w:ascii="Times New Roman" w:hAnsi="Times New Roman" w:cs="Times New Roman"/>
                <w:sz w:val="18"/>
                <w:szCs w:val="18"/>
              </w:rPr>
            </w:pPr>
            <w:r w:rsidRPr="004C2278">
              <w:rPr>
                <w:rFonts w:ascii="Times New Roman" w:hAnsi="Times New Roman" w:cs="Times New Roman"/>
                <w:sz w:val="18"/>
                <w:szCs w:val="18"/>
              </w:rPr>
              <w:t>Часть пункта 8.1.2:</w:t>
            </w:r>
          </w:p>
          <w:p w14:paraId="52652BE2" w14:textId="3FEAAE7A" w:rsidR="00C9075A" w:rsidRPr="004C2278" w:rsidRDefault="00C9075A" w:rsidP="00203445">
            <w:pPr>
              <w:jc w:val="both"/>
              <w:rPr>
                <w:rFonts w:ascii="Times New Roman" w:hAnsi="Times New Roman" w:cs="Times New Roman"/>
                <w:sz w:val="18"/>
                <w:szCs w:val="18"/>
              </w:rPr>
            </w:pPr>
            <w:r w:rsidRPr="004C2278">
              <w:rPr>
                <w:rFonts w:ascii="Times New Roman" w:hAnsi="Times New Roman" w:cs="Times New Roman"/>
                <w:sz w:val="18"/>
                <w:szCs w:val="18"/>
              </w:rPr>
              <w:t>Клиент также может направить уведомление в устной форме с использованием телефонной связи, в письменной форме по электронной почте (</w:t>
            </w:r>
            <w:r w:rsidRPr="004C2278">
              <w:rPr>
                <w:rFonts w:ascii="Times New Roman" w:hAnsi="Times New Roman" w:cs="Times New Roman"/>
                <w:sz w:val="18"/>
                <w:szCs w:val="18"/>
                <w:lang w:val="en-US"/>
              </w:rPr>
              <w:t>e</w:t>
            </w:r>
            <w:r w:rsidRPr="004C2278">
              <w:rPr>
                <w:rFonts w:ascii="Times New Roman" w:hAnsi="Times New Roman" w:cs="Times New Roman"/>
                <w:sz w:val="18"/>
                <w:szCs w:val="18"/>
              </w:rPr>
              <w:t>-</w:t>
            </w:r>
            <w:r w:rsidRPr="004C2278">
              <w:rPr>
                <w:rFonts w:ascii="Times New Roman" w:hAnsi="Times New Roman" w:cs="Times New Roman"/>
                <w:sz w:val="18"/>
                <w:szCs w:val="18"/>
                <w:lang w:val="en-US"/>
              </w:rPr>
              <w:t>mail</w:t>
            </w:r>
            <w:r w:rsidRPr="004C2278">
              <w:rPr>
                <w:rFonts w:ascii="Times New Roman" w:hAnsi="Times New Roman" w:cs="Times New Roman"/>
                <w:sz w:val="18"/>
                <w:szCs w:val="18"/>
              </w:rPr>
              <w:t xml:space="preserve">) и по факсу с последующим направлением в оригинале не позднее 10 (Десяти) рабочих дней с даты их </w:t>
            </w:r>
            <w:r w:rsidRPr="004C2278">
              <w:rPr>
                <w:rFonts w:ascii="Times New Roman" w:hAnsi="Times New Roman" w:cs="Times New Roman"/>
                <w:sz w:val="18"/>
                <w:szCs w:val="18"/>
              </w:rPr>
              <w:lastRenderedPageBreak/>
              <w:t>направления указанными в настоящем абзаце средствами связи.</w:t>
            </w:r>
          </w:p>
        </w:tc>
        <w:tc>
          <w:tcPr>
            <w:tcW w:w="3563" w:type="dxa"/>
          </w:tcPr>
          <w:p w14:paraId="0AC8CF88" w14:textId="77777777" w:rsidR="00C9075A" w:rsidRPr="004C2278" w:rsidRDefault="00C9075A" w:rsidP="00203445">
            <w:pPr>
              <w:jc w:val="both"/>
              <w:rPr>
                <w:rFonts w:ascii="Times New Roman" w:hAnsi="Times New Roman" w:cs="Times New Roman"/>
                <w:sz w:val="18"/>
                <w:szCs w:val="18"/>
              </w:rPr>
            </w:pPr>
            <w:r w:rsidRPr="004C2278">
              <w:rPr>
                <w:rFonts w:ascii="Times New Roman" w:hAnsi="Times New Roman" w:cs="Times New Roman"/>
                <w:sz w:val="18"/>
                <w:szCs w:val="18"/>
              </w:rPr>
              <w:lastRenderedPageBreak/>
              <w:t>Часть пункта 8.1.2:</w:t>
            </w:r>
          </w:p>
          <w:p w14:paraId="0E5166AE" w14:textId="5B91C378" w:rsidR="00D14053" w:rsidRPr="004C2278" w:rsidRDefault="00C9075A" w:rsidP="00203445">
            <w:pPr>
              <w:jc w:val="both"/>
              <w:rPr>
                <w:rFonts w:ascii="Times New Roman" w:hAnsi="Times New Roman" w:cs="Times New Roman"/>
                <w:sz w:val="18"/>
                <w:szCs w:val="18"/>
              </w:rPr>
            </w:pPr>
            <w:r w:rsidRPr="004C2278">
              <w:rPr>
                <w:rFonts w:ascii="Times New Roman" w:hAnsi="Times New Roman" w:cs="Times New Roman"/>
                <w:sz w:val="18"/>
                <w:szCs w:val="18"/>
              </w:rPr>
              <w:t>Клиент также может направить уведомление в устной форме с использованием телефонной связи, в письменной форме по электронной почте (</w:t>
            </w:r>
            <w:r w:rsidRPr="004C2278">
              <w:rPr>
                <w:rFonts w:ascii="Times New Roman" w:hAnsi="Times New Roman" w:cs="Times New Roman"/>
                <w:sz w:val="18"/>
                <w:szCs w:val="18"/>
                <w:lang w:val="en-US"/>
              </w:rPr>
              <w:t>e</w:t>
            </w:r>
            <w:r w:rsidRPr="004C2278">
              <w:rPr>
                <w:rFonts w:ascii="Times New Roman" w:hAnsi="Times New Roman" w:cs="Times New Roman"/>
                <w:sz w:val="18"/>
                <w:szCs w:val="18"/>
              </w:rPr>
              <w:t>-</w:t>
            </w:r>
            <w:r w:rsidRPr="004C2278">
              <w:rPr>
                <w:rFonts w:ascii="Times New Roman" w:hAnsi="Times New Roman" w:cs="Times New Roman"/>
                <w:sz w:val="18"/>
                <w:szCs w:val="18"/>
                <w:lang w:val="en-US"/>
              </w:rPr>
              <w:t>mail</w:t>
            </w:r>
            <w:r w:rsidRPr="004C2278">
              <w:rPr>
                <w:rFonts w:ascii="Times New Roman" w:hAnsi="Times New Roman" w:cs="Times New Roman"/>
                <w:sz w:val="18"/>
                <w:szCs w:val="18"/>
              </w:rPr>
              <w:t xml:space="preserve">) с последующим направлением в оригинале не позднее 10 (Десяти) рабочих </w:t>
            </w:r>
            <w:r w:rsidRPr="004C2278">
              <w:rPr>
                <w:rFonts w:ascii="Times New Roman" w:hAnsi="Times New Roman" w:cs="Times New Roman"/>
                <w:sz w:val="18"/>
                <w:szCs w:val="18"/>
              </w:rPr>
              <w:lastRenderedPageBreak/>
              <w:t>дней с даты их направления указанными в настоящем абзаце средствами связи.</w:t>
            </w:r>
          </w:p>
        </w:tc>
        <w:tc>
          <w:tcPr>
            <w:tcW w:w="2219" w:type="dxa"/>
          </w:tcPr>
          <w:p w14:paraId="63DCD210" w14:textId="77777777" w:rsidR="00D14053" w:rsidRPr="004C2278" w:rsidRDefault="00D14053" w:rsidP="00D14053">
            <w:pPr>
              <w:rPr>
                <w:rFonts w:ascii="Times New Roman" w:hAnsi="Times New Roman" w:cs="Times New Roman"/>
              </w:rPr>
            </w:pPr>
          </w:p>
        </w:tc>
      </w:tr>
      <w:tr w:rsidR="00D14053" w:rsidRPr="004C2278" w14:paraId="7BDD9C2F" w14:textId="77777777" w:rsidTr="004C2278">
        <w:tc>
          <w:tcPr>
            <w:tcW w:w="3563" w:type="dxa"/>
          </w:tcPr>
          <w:p w14:paraId="33AB47FC" w14:textId="77777777" w:rsidR="00D14053" w:rsidRPr="004C2278" w:rsidRDefault="00C9075A" w:rsidP="00D14053">
            <w:pPr>
              <w:rPr>
                <w:rFonts w:ascii="Times New Roman" w:hAnsi="Times New Roman" w:cs="Times New Roman"/>
                <w:sz w:val="18"/>
                <w:szCs w:val="18"/>
              </w:rPr>
            </w:pPr>
            <w:r w:rsidRPr="004C2278">
              <w:rPr>
                <w:rFonts w:ascii="Times New Roman" w:hAnsi="Times New Roman" w:cs="Times New Roman"/>
                <w:sz w:val="18"/>
                <w:szCs w:val="18"/>
              </w:rPr>
              <w:t>Часть пункта 8.2.2:</w:t>
            </w:r>
          </w:p>
          <w:p w14:paraId="56A2F637" w14:textId="52B42933" w:rsidR="00C9075A" w:rsidRPr="004C2278" w:rsidRDefault="00C9075A" w:rsidP="00C9075A">
            <w:pPr>
              <w:ind w:left="28"/>
              <w:jc w:val="both"/>
              <w:rPr>
                <w:rFonts w:ascii="Times New Roman" w:hAnsi="Times New Roman" w:cs="Times New Roman"/>
                <w:sz w:val="18"/>
                <w:szCs w:val="18"/>
              </w:rPr>
            </w:pPr>
            <w:r w:rsidRPr="004C2278">
              <w:rPr>
                <w:rFonts w:ascii="Times New Roman" w:hAnsi="Times New Roman" w:cs="Times New Roman"/>
                <w:sz w:val="18"/>
                <w:szCs w:val="18"/>
              </w:rPr>
              <w:t>Компания вправе направить Клиенту Уведомление о расторжении договора в электронной форме с использованием электронной почты или в письменной форме путем вручения Уведомления уполномоченному представителю Клиента либо с использованием почтовой связи. Договор о брокерском обслуживании прекращает свое действие по истечении 30 (Тридцати) календарных дней с даты отправления Уведомления о расторжение договора.</w:t>
            </w:r>
          </w:p>
        </w:tc>
        <w:tc>
          <w:tcPr>
            <w:tcW w:w="3563" w:type="dxa"/>
          </w:tcPr>
          <w:p w14:paraId="404217C1" w14:textId="77777777" w:rsidR="00D14053" w:rsidRPr="004C2278" w:rsidRDefault="00C9075A" w:rsidP="00D14053">
            <w:pPr>
              <w:rPr>
                <w:rFonts w:ascii="Times New Roman" w:hAnsi="Times New Roman" w:cs="Times New Roman"/>
                <w:sz w:val="18"/>
                <w:szCs w:val="18"/>
              </w:rPr>
            </w:pPr>
            <w:r w:rsidRPr="004C2278">
              <w:rPr>
                <w:rFonts w:ascii="Times New Roman" w:hAnsi="Times New Roman" w:cs="Times New Roman"/>
                <w:sz w:val="18"/>
                <w:szCs w:val="18"/>
              </w:rPr>
              <w:t>Часть пункта 8.2.2:</w:t>
            </w:r>
          </w:p>
          <w:p w14:paraId="69736C69" w14:textId="77777777" w:rsidR="00C9075A" w:rsidRPr="004C2278" w:rsidRDefault="00C9075A" w:rsidP="00C9075A">
            <w:pPr>
              <w:ind w:left="28"/>
              <w:jc w:val="both"/>
              <w:rPr>
                <w:rFonts w:ascii="Times New Roman" w:hAnsi="Times New Roman" w:cs="Times New Roman"/>
                <w:sz w:val="18"/>
                <w:szCs w:val="18"/>
              </w:rPr>
            </w:pPr>
            <w:r w:rsidRPr="004C2278">
              <w:rPr>
                <w:rFonts w:ascii="Times New Roman" w:hAnsi="Times New Roman" w:cs="Times New Roman"/>
                <w:sz w:val="18"/>
                <w:szCs w:val="18"/>
              </w:rPr>
              <w:t>Компания вправе направить Клиенту Уведомление о расторжении договора в электронной форме с использованием электронной почты или в письменной форме путем вручения Уведомления уполномоченному представителю Клиента либо с использованием почтовой связи. Договор о брокерском обслуживании прекращает свое действие по истечении 30 (Тридцати) календарных дней с даты отправления Уведомления о расторжение договора:</w:t>
            </w:r>
          </w:p>
          <w:p w14:paraId="5EDD3B18" w14:textId="77777777" w:rsidR="00C9075A" w:rsidRPr="004C2278" w:rsidRDefault="00C9075A" w:rsidP="00C9075A">
            <w:pPr>
              <w:pStyle w:val="a5"/>
              <w:numPr>
                <w:ilvl w:val="0"/>
                <w:numId w:val="8"/>
              </w:numPr>
              <w:ind w:left="448" w:hanging="357"/>
              <w:contextualSpacing w:val="0"/>
              <w:jc w:val="both"/>
              <w:rPr>
                <w:rFonts w:ascii="Times New Roman" w:hAnsi="Times New Roman" w:cs="Times New Roman"/>
                <w:sz w:val="18"/>
                <w:szCs w:val="18"/>
              </w:rPr>
            </w:pPr>
            <w:r w:rsidRPr="004C2278">
              <w:rPr>
                <w:rFonts w:ascii="Times New Roman" w:hAnsi="Times New Roman" w:cs="Times New Roman"/>
                <w:sz w:val="18"/>
                <w:szCs w:val="18"/>
              </w:rPr>
              <w:t>в письменной форме с использованием почтовой связи либо путем его вручения непосредственно Клиенту (уполномоченному представителю Клиента);</w:t>
            </w:r>
          </w:p>
          <w:p w14:paraId="44CC8807" w14:textId="08527849" w:rsidR="00C9075A" w:rsidRPr="004C2278" w:rsidRDefault="00C9075A" w:rsidP="00C9075A">
            <w:pPr>
              <w:pStyle w:val="a5"/>
              <w:numPr>
                <w:ilvl w:val="0"/>
                <w:numId w:val="8"/>
              </w:numPr>
              <w:ind w:left="448" w:hanging="357"/>
              <w:contextualSpacing w:val="0"/>
              <w:jc w:val="both"/>
              <w:rPr>
                <w:rFonts w:ascii="Times New Roman" w:hAnsi="Times New Roman" w:cs="Times New Roman"/>
                <w:sz w:val="18"/>
                <w:szCs w:val="18"/>
              </w:rPr>
            </w:pPr>
            <w:r w:rsidRPr="004C2278">
              <w:rPr>
                <w:rFonts w:ascii="Times New Roman" w:hAnsi="Times New Roman" w:cs="Times New Roman"/>
                <w:sz w:val="18"/>
                <w:szCs w:val="18"/>
              </w:rPr>
              <w:t>в электронной форме с использованием электронной почты.</w:t>
            </w:r>
          </w:p>
        </w:tc>
        <w:tc>
          <w:tcPr>
            <w:tcW w:w="2219" w:type="dxa"/>
          </w:tcPr>
          <w:p w14:paraId="758B4B88" w14:textId="77777777" w:rsidR="00D14053" w:rsidRPr="004C2278" w:rsidRDefault="00D14053" w:rsidP="00D14053">
            <w:pPr>
              <w:rPr>
                <w:rFonts w:ascii="Times New Roman" w:hAnsi="Times New Roman" w:cs="Times New Roman"/>
              </w:rPr>
            </w:pPr>
          </w:p>
        </w:tc>
      </w:tr>
      <w:tr w:rsidR="00C9075A" w:rsidRPr="004C2278" w14:paraId="395DAF3F" w14:textId="77777777" w:rsidTr="00342959">
        <w:tc>
          <w:tcPr>
            <w:tcW w:w="9345" w:type="dxa"/>
            <w:gridSpan w:val="3"/>
          </w:tcPr>
          <w:p w14:paraId="4AAF124B" w14:textId="7972861A" w:rsidR="00C9075A" w:rsidRPr="004C2278" w:rsidRDefault="00C9075A" w:rsidP="004C2278">
            <w:pPr>
              <w:jc w:val="center"/>
              <w:rPr>
                <w:rFonts w:ascii="Times New Roman" w:hAnsi="Times New Roman" w:cs="Times New Roman"/>
                <w:b/>
              </w:rPr>
            </w:pPr>
            <w:r w:rsidRPr="004C2278">
              <w:rPr>
                <w:rFonts w:ascii="Times New Roman" w:hAnsi="Times New Roman" w:cs="Times New Roman"/>
                <w:b/>
              </w:rPr>
              <w:t>Изменения в приложениях к Регламенту</w:t>
            </w:r>
            <w:r w:rsidR="004C2278">
              <w:rPr>
                <w:rFonts w:ascii="Times New Roman" w:hAnsi="Times New Roman" w:cs="Times New Roman"/>
                <w:b/>
              </w:rPr>
              <w:t>:</w:t>
            </w:r>
          </w:p>
        </w:tc>
      </w:tr>
      <w:tr w:rsidR="00C9075A" w:rsidRPr="004C2278" w14:paraId="6EE6D8AD" w14:textId="77777777" w:rsidTr="004C2278">
        <w:tc>
          <w:tcPr>
            <w:tcW w:w="3563" w:type="dxa"/>
          </w:tcPr>
          <w:p w14:paraId="1EB337F2" w14:textId="4DEF9686" w:rsidR="00C9075A" w:rsidRPr="004C2278" w:rsidRDefault="00C81FDB" w:rsidP="00203445">
            <w:pPr>
              <w:jc w:val="both"/>
              <w:rPr>
                <w:rFonts w:ascii="Times New Roman" w:hAnsi="Times New Roman" w:cs="Times New Roman"/>
                <w:sz w:val="18"/>
                <w:szCs w:val="18"/>
              </w:rPr>
            </w:pPr>
            <w:r w:rsidRPr="004C2278">
              <w:rPr>
                <w:rFonts w:ascii="Times New Roman" w:hAnsi="Times New Roman" w:cs="Times New Roman"/>
                <w:sz w:val="18"/>
                <w:szCs w:val="18"/>
              </w:rPr>
              <w:t>Приложение № 4.4: Поручение на проверку факта выдачи документарной ценной бумаги.</w:t>
            </w:r>
          </w:p>
          <w:p w14:paraId="7B6E6852" w14:textId="748E497C" w:rsidR="00136DC8" w:rsidRPr="004C2278" w:rsidRDefault="00136DC8" w:rsidP="00203445">
            <w:pPr>
              <w:jc w:val="both"/>
              <w:rPr>
                <w:rFonts w:ascii="Times New Roman" w:hAnsi="Times New Roman" w:cs="Times New Roman"/>
                <w:sz w:val="18"/>
                <w:szCs w:val="18"/>
              </w:rPr>
            </w:pPr>
            <w:r w:rsidRPr="004C2278">
              <w:rPr>
                <w:rFonts w:ascii="Times New Roman" w:hAnsi="Times New Roman" w:cs="Times New Roman"/>
                <w:sz w:val="18"/>
                <w:szCs w:val="18"/>
              </w:rPr>
              <w:t>Приложение № 4.</w:t>
            </w:r>
            <w:r w:rsidR="0089400F" w:rsidRPr="0089400F">
              <w:rPr>
                <w:rFonts w:ascii="Times New Roman" w:hAnsi="Times New Roman" w:cs="Times New Roman"/>
                <w:sz w:val="18"/>
                <w:szCs w:val="18"/>
              </w:rPr>
              <w:t>5</w:t>
            </w:r>
            <w:r w:rsidRPr="004C2278">
              <w:rPr>
                <w:rFonts w:ascii="Times New Roman" w:hAnsi="Times New Roman" w:cs="Times New Roman"/>
                <w:sz w:val="18"/>
                <w:szCs w:val="18"/>
              </w:rPr>
              <w:t>: Поручение на конверсионную операцию.</w:t>
            </w:r>
          </w:p>
          <w:p w14:paraId="71BDF1F2" w14:textId="276FFC26" w:rsidR="00C81FDB" w:rsidRPr="004C2278" w:rsidRDefault="00C81FDB" w:rsidP="00203445">
            <w:pPr>
              <w:jc w:val="both"/>
              <w:rPr>
                <w:rFonts w:ascii="Times New Roman" w:hAnsi="Times New Roman" w:cs="Times New Roman"/>
                <w:sz w:val="18"/>
                <w:szCs w:val="18"/>
              </w:rPr>
            </w:pPr>
            <w:r w:rsidRPr="004C2278">
              <w:rPr>
                <w:rFonts w:ascii="Times New Roman" w:hAnsi="Times New Roman" w:cs="Times New Roman"/>
                <w:sz w:val="18"/>
                <w:szCs w:val="18"/>
              </w:rPr>
              <w:t>Приложение № 5.2: Поручение на совершение сделки или операции с векселями.</w:t>
            </w:r>
          </w:p>
          <w:p w14:paraId="0E290F7B" w14:textId="66D99A23" w:rsidR="00136DC8" w:rsidRDefault="00136DC8" w:rsidP="00203445">
            <w:pPr>
              <w:jc w:val="both"/>
              <w:rPr>
                <w:rFonts w:ascii="Times New Roman" w:hAnsi="Times New Roman" w:cs="Times New Roman"/>
                <w:sz w:val="18"/>
                <w:szCs w:val="18"/>
              </w:rPr>
            </w:pPr>
            <w:r w:rsidRPr="004C2278">
              <w:rPr>
                <w:rFonts w:ascii="Times New Roman" w:hAnsi="Times New Roman" w:cs="Times New Roman"/>
                <w:sz w:val="18"/>
                <w:szCs w:val="18"/>
              </w:rPr>
              <w:t>Приложение № 5.9: Поручение на участие в оферте/размещении/первичном публичном предложении (</w:t>
            </w:r>
            <w:r w:rsidRPr="004C2278">
              <w:rPr>
                <w:rFonts w:ascii="Times New Roman" w:hAnsi="Times New Roman" w:cs="Times New Roman"/>
                <w:sz w:val="18"/>
                <w:szCs w:val="18"/>
                <w:lang w:val="en-US"/>
              </w:rPr>
              <w:t>IPO</w:t>
            </w:r>
            <w:r w:rsidRPr="004C2278">
              <w:rPr>
                <w:rFonts w:ascii="Times New Roman" w:hAnsi="Times New Roman" w:cs="Times New Roman"/>
                <w:sz w:val="18"/>
                <w:szCs w:val="18"/>
              </w:rPr>
              <w:t>).</w:t>
            </w:r>
          </w:p>
          <w:p w14:paraId="44FB2408" w14:textId="71A20F49" w:rsidR="00355F33" w:rsidRPr="004C2278" w:rsidRDefault="00355F33" w:rsidP="00203445">
            <w:pPr>
              <w:jc w:val="both"/>
              <w:rPr>
                <w:rFonts w:ascii="Times New Roman" w:hAnsi="Times New Roman" w:cs="Times New Roman"/>
                <w:sz w:val="18"/>
                <w:szCs w:val="18"/>
              </w:rPr>
            </w:pPr>
            <w:r w:rsidRPr="004C2278">
              <w:rPr>
                <w:rFonts w:ascii="Times New Roman" w:hAnsi="Times New Roman" w:cs="Times New Roman"/>
                <w:sz w:val="18"/>
                <w:szCs w:val="18"/>
              </w:rPr>
              <w:t>Приложение № 6.3: Заявление об отмене поручения на совершение сделки или операции с векселями.</w:t>
            </w:r>
          </w:p>
          <w:p w14:paraId="4413AC66" w14:textId="1EF7C9C7" w:rsidR="00C81FDB" w:rsidRPr="004C2278" w:rsidRDefault="00C81FDB" w:rsidP="00203445">
            <w:pPr>
              <w:jc w:val="both"/>
              <w:rPr>
                <w:rFonts w:ascii="Times New Roman" w:hAnsi="Times New Roman" w:cs="Times New Roman"/>
                <w:sz w:val="18"/>
                <w:szCs w:val="18"/>
              </w:rPr>
            </w:pPr>
            <w:r w:rsidRPr="004C2278">
              <w:rPr>
                <w:rFonts w:ascii="Times New Roman" w:hAnsi="Times New Roman" w:cs="Times New Roman"/>
                <w:sz w:val="18"/>
                <w:szCs w:val="18"/>
              </w:rPr>
              <w:t>Приложение № 10: Акт приема-передачи документарных ценных бумаг.</w:t>
            </w:r>
          </w:p>
        </w:tc>
        <w:tc>
          <w:tcPr>
            <w:tcW w:w="3563" w:type="dxa"/>
          </w:tcPr>
          <w:p w14:paraId="41C9A3B0" w14:textId="33996F55" w:rsidR="00C9075A" w:rsidRPr="004C2278" w:rsidRDefault="00C81FDB" w:rsidP="00203445">
            <w:pPr>
              <w:jc w:val="both"/>
              <w:rPr>
                <w:rFonts w:ascii="Times New Roman" w:hAnsi="Times New Roman" w:cs="Times New Roman"/>
                <w:sz w:val="18"/>
                <w:szCs w:val="18"/>
              </w:rPr>
            </w:pPr>
            <w:r w:rsidRPr="004C2278">
              <w:rPr>
                <w:rFonts w:ascii="Times New Roman" w:hAnsi="Times New Roman" w:cs="Times New Roman"/>
                <w:sz w:val="18"/>
                <w:szCs w:val="18"/>
              </w:rPr>
              <w:t xml:space="preserve">Приложения </w:t>
            </w:r>
            <w:r w:rsidR="00136DC8" w:rsidRPr="004C2278">
              <w:rPr>
                <w:rFonts w:ascii="Times New Roman" w:hAnsi="Times New Roman" w:cs="Times New Roman"/>
                <w:sz w:val="18"/>
                <w:szCs w:val="18"/>
              </w:rPr>
              <w:t>исключены</w:t>
            </w:r>
            <w:r w:rsidRPr="004C2278">
              <w:rPr>
                <w:rFonts w:ascii="Times New Roman" w:hAnsi="Times New Roman" w:cs="Times New Roman"/>
                <w:sz w:val="18"/>
                <w:szCs w:val="18"/>
              </w:rPr>
              <w:t xml:space="preserve"> в новой редакции Регламента</w:t>
            </w:r>
          </w:p>
        </w:tc>
        <w:tc>
          <w:tcPr>
            <w:tcW w:w="2219" w:type="dxa"/>
          </w:tcPr>
          <w:p w14:paraId="6F998095" w14:textId="77777777" w:rsidR="00C9075A" w:rsidRPr="004C2278" w:rsidRDefault="00C9075A" w:rsidP="00D14053">
            <w:pPr>
              <w:rPr>
                <w:rFonts w:ascii="Times New Roman" w:hAnsi="Times New Roman" w:cs="Times New Roman"/>
              </w:rPr>
            </w:pPr>
          </w:p>
        </w:tc>
      </w:tr>
      <w:tr w:rsidR="00142136" w:rsidRPr="004C2278" w14:paraId="058397F9" w14:textId="77777777" w:rsidTr="0086155A">
        <w:tc>
          <w:tcPr>
            <w:tcW w:w="9345" w:type="dxa"/>
            <w:gridSpan w:val="3"/>
          </w:tcPr>
          <w:p w14:paraId="064E66B4" w14:textId="77777777" w:rsidR="00142136" w:rsidRPr="00E13E10" w:rsidRDefault="00142136" w:rsidP="004C2278">
            <w:pPr>
              <w:jc w:val="both"/>
              <w:rPr>
                <w:rFonts w:ascii="Times New Roman" w:hAnsi="Times New Roman" w:cs="Times New Roman"/>
              </w:rPr>
            </w:pPr>
            <w:r w:rsidRPr="00E13E10">
              <w:rPr>
                <w:rFonts w:ascii="Times New Roman" w:hAnsi="Times New Roman" w:cs="Times New Roman"/>
              </w:rPr>
              <w:t>Из-за особенностей предоставления информации изменения приложений в новой редакции Регламента не приводятся.</w:t>
            </w:r>
          </w:p>
          <w:p w14:paraId="5693F750" w14:textId="53DEBCF8" w:rsidR="00142136" w:rsidRPr="004C2278" w:rsidRDefault="00142136" w:rsidP="004C2278">
            <w:pPr>
              <w:jc w:val="both"/>
              <w:rPr>
                <w:rFonts w:ascii="Times New Roman" w:hAnsi="Times New Roman" w:cs="Times New Roman"/>
              </w:rPr>
            </w:pPr>
            <w:r w:rsidRPr="00E13E10">
              <w:rPr>
                <w:rFonts w:ascii="Times New Roman" w:hAnsi="Times New Roman" w:cs="Times New Roman"/>
              </w:rPr>
              <w:t xml:space="preserve">Пожалуйста, ознакомьтесь с новыми редакциями приложений обратившись к новым приложениям к Регламенту в новой редакции, размещенному на сайте АО «ИК «Горизонт» </w:t>
            </w:r>
          </w:p>
        </w:tc>
      </w:tr>
      <w:bookmarkEnd w:id="0"/>
    </w:tbl>
    <w:p w14:paraId="2FA0C155" w14:textId="737C633C" w:rsidR="00E7337C" w:rsidRDefault="00E7337C"/>
    <w:p w14:paraId="05F7E711" w14:textId="12682ACE" w:rsidR="00E7337C" w:rsidRDefault="00E7337C"/>
    <w:p w14:paraId="413EDA15" w14:textId="234128C7" w:rsidR="00E7337C" w:rsidRDefault="00E7337C"/>
    <w:p w14:paraId="15C62945" w14:textId="77777777" w:rsidR="00E7337C" w:rsidRDefault="00E7337C"/>
    <w:sectPr w:rsidR="00E73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356"/>
    <w:multiLevelType w:val="multilevel"/>
    <w:tmpl w:val="2FF4EA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E123C1"/>
    <w:multiLevelType w:val="hybridMultilevel"/>
    <w:tmpl w:val="D0083C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A595425"/>
    <w:multiLevelType w:val="multilevel"/>
    <w:tmpl w:val="3FD8C6CE"/>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59E1FE1"/>
    <w:multiLevelType w:val="multilevel"/>
    <w:tmpl w:val="885EF734"/>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73710A1"/>
    <w:multiLevelType w:val="multilevel"/>
    <w:tmpl w:val="65BC6C06"/>
    <w:lvl w:ilvl="0">
      <w:start w:val="1"/>
      <w:numFmt w:val="decimal"/>
      <w:pStyle w:val="1"/>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5BEA6D20"/>
    <w:multiLevelType w:val="multilevel"/>
    <w:tmpl w:val="D7FEA75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91E009D"/>
    <w:multiLevelType w:val="hybridMultilevel"/>
    <w:tmpl w:val="64C06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B"/>
    <w:rsid w:val="0008015D"/>
    <w:rsid w:val="000F5444"/>
    <w:rsid w:val="00133E47"/>
    <w:rsid w:val="00136DC8"/>
    <w:rsid w:val="00142136"/>
    <w:rsid w:val="00203445"/>
    <w:rsid w:val="002930C8"/>
    <w:rsid w:val="00353C48"/>
    <w:rsid w:val="00355F33"/>
    <w:rsid w:val="00444007"/>
    <w:rsid w:val="00471EFA"/>
    <w:rsid w:val="004C2278"/>
    <w:rsid w:val="006356BD"/>
    <w:rsid w:val="00653143"/>
    <w:rsid w:val="006F1A2C"/>
    <w:rsid w:val="00891231"/>
    <w:rsid w:val="0089400F"/>
    <w:rsid w:val="008B266D"/>
    <w:rsid w:val="00AE0A90"/>
    <w:rsid w:val="00B76C79"/>
    <w:rsid w:val="00B978A2"/>
    <w:rsid w:val="00C81FDB"/>
    <w:rsid w:val="00C9075A"/>
    <w:rsid w:val="00D14053"/>
    <w:rsid w:val="00D5158E"/>
    <w:rsid w:val="00D519CB"/>
    <w:rsid w:val="00E13E10"/>
    <w:rsid w:val="00E5317B"/>
    <w:rsid w:val="00E7337C"/>
    <w:rsid w:val="00F47A21"/>
    <w:rsid w:val="00F9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0A70"/>
  <w15:chartTrackingRefBased/>
  <w15:docId w15:val="{4B3D8522-89DB-40DD-8F2C-8FEF1DA1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D14053"/>
    <w:pPr>
      <w:keepNext/>
      <w:numPr>
        <w:numId w:val="6"/>
      </w:numPr>
      <w:spacing w:before="240" w:after="0" w:line="240" w:lineRule="auto"/>
      <w:outlineLvl w:val="0"/>
    </w:pPr>
    <w:rPr>
      <w:rFonts w:ascii="Arial" w:eastAsia="Times New Roman" w:hAnsi="Arial" w:cs="Times New Roman"/>
      <w:b/>
      <w:kern w:val="28"/>
      <w:sz w:val="28"/>
      <w:szCs w:val="24"/>
      <w:lang w:eastAsia="ru-RU"/>
    </w:rPr>
  </w:style>
  <w:style w:type="paragraph" w:styleId="4">
    <w:name w:val="heading 4"/>
    <w:basedOn w:val="a"/>
    <w:next w:val="a"/>
    <w:link w:val="40"/>
    <w:qFormat/>
    <w:rsid w:val="00D14053"/>
    <w:pPr>
      <w:keepNext/>
      <w:numPr>
        <w:ilvl w:val="3"/>
        <w:numId w:val="6"/>
      </w:numPr>
      <w:spacing w:before="240" w:after="0" w:line="240" w:lineRule="auto"/>
      <w:outlineLvl w:val="3"/>
    </w:pPr>
    <w:rPr>
      <w:rFonts w:ascii="Arial" w:eastAsia="Times New Roman" w:hAnsi="Arial" w:cs="Times New Roman"/>
      <w:b/>
      <w:sz w:val="24"/>
      <w:szCs w:val="24"/>
      <w:lang w:eastAsia="ru-RU"/>
    </w:rPr>
  </w:style>
  <w:style w:type="paragraph" w:styleId="5">
    <w:name w:val="heading 5"/>
    <w:basedOn w:val="a"/>
    <w:next w:val="a"/>
    <w:link w:val="50"/>
    <w:qFormat/>
    <w:rsid w:val="00D14053"/>
    <w:pPr>
      <w:numPr>
        <w:ilvl w:val="4"/>
        <w:numId w:val="6"/>
      </w:numPr>
      <w:spacing w:before="240" w:after="0" w:line="240" w:lineRule="auto"/>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D14053"/>
    <w:pPr>
      <w:numPr>
        <w:ilvl w:val="5"/>
        <w:numId w:val="6"/>
      </w:numPr>
      <w:spacing w:before="240" w:after="0" w:line="240" w:lineRule="auto"/>
      <w:outlineLvl w:val="5"/>
    </w:pPr>
    <w:rPr>
      <w:rFonts w:ascii="Times New Roman" w:eastAsia="Times New Roman" w:hAnsi="Times New Roman" w:cs="Times New Roman"/>
      <w:i/>
      <w:sz w:val="24"/>
      <w:szCs w:val="24"/>
      <w:lang w:eastAsia="ru-RU"/>
    </w:rPr>
  </w:style>
  <w:style w:type="paragraph" w:styleId="7">
    <w:name w:val="heading 7"/>
    <w:basedOn w:val="a"/>
    <w:next w:val="a"/>
    <w:link w:val="70"/>
    <w:qFormat/>
    <w:rsid w:val="00D14053"/>
    <w:pPr>
      <w:numPr>
        <w:ilvl w:val="6"/>
        <w:numId w:val="6"/>
      </w:numPr>
      <w:spacing w:before="240" w:after="0" w:line="240" w:lineRule="auto"/>
      <w:outlineLvl w:val="6"/>
    </w:pPr>
    <w:rPr>
      <w:rFonts w:ascii="Arial" w:eastAsia="Times New Roman" w:hAnsi="Arial" w:cs="Times New Roman"/>
      <w:sz w:val="20"/>
      <w:szCs w:val="24"/>
      <w:lang w:eastAsia="ru-RU"/>
    </w:rPr>
  </w:style>
  <w:style w:type="paragraph" w:styleId="8">
    <w:name w:val="heading 8"/>
    <w:basedOn w:val="a"/>
    <w:next w:val="a"/>
    <w:link w:val="80"/>
    <w:qFormat/>
    <w:rsid w:val="00D14053"/>
    <w:pPr>
      <w:numPr>
        <w:ilvl w:val="7"/>
        <w:numId w:val="6"/>
      </w:numPr>
      <w:spacing w:before="240" w:after="0" w:line="240" w:lineRule="auto"/>
      <w:outlineLvl w:val="7"/>
    </w:pPr>
    <w:rPr>
      <w:rFonts w:ascii="Arial" w:eastAsia="Times New Roman" w:hAnsi="Arial" w:cs="Times New Roman"/>
      <w:i/>
      <w:sz w:val="20"/>
      <w:szCs w:val="24"/>
      <w:lang w:eastAsia="ru-RU"/>
    </w:rPr>
  </w:style>
  <w:style w:type="paragraph" w:styleId="9">
    <w:name w:val="heading 9"/>
    <w:basedOn w:val="a"/>
    <w:next w:val="a"/>
    <w:link w:val="90"/>
    <w:qFormat/>
    <w:rsid w:val="00D14053"/>
    <w:pPr>
      <w:numPr>
        <w:ilvl w:val="8"/>
        <w:numId w:val="6"/>
      </w:numPr>
      <w:spacing w:before="240" w:after="0" w:line="240" w:lineRule="auto"/>
      <w:outlineLvl w:val="8"/>
    </w:pPr>
    <w:rPr>
      <w:rFonts w:ascii="Arial" w:eastAsia="Times New Roman" w:hAnsi="Arial" w:cs="Times New Roman"/>
      <w:b/>
      <w:i/>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53C48"/>
    <w:rPr>
      <w:color w:val="0000FF"/>
      <w:u w:val="single"/>
    </w:rPr>
  </w:style>
  <w:style w:type="paragraph" w:styleId="a5">
    <w:name w:val="List Paragraph"/>
    <w:basedOn w:val="a"/>
    <w:uiPriority w:val="34"/>
    <w:qFormat/>
    <w:rsid w:val="00133E47"/>
    <w:pPr>
      <w:ind w:left="720"/>
      <w:contextualSpacing/>
    </w:pPr>
  </w:style>
  <w:style w:type="paragraph" w:styleId="a6">
    <w:name w:val="Subtitle"/>
    <w:basedOn w:val="a"/>
    <w:next w:val="a"/>
    <w:link w:val="a7"/>
    <w:qFormat/>
    <w:rsid w:val="00133E47"/>
    <w:pPr>
      <w:numPr>
        <w:ilvl w:val="1"/>
      </w:numPr>
      <w:spacing w:line="240" w:lineRule="auto"/>
    </w:pPr>
    <w:rPr>
      <w:rFonts w:eastAsiaTheme="minorEastAsia"/>
      <w:color w:val="5A5A5A" w:themeColor="text1" w:themeTint="A5"/>
      <w:spacing w:val="15"/>
      <w:lang w:eastAsia="ru-RU"/>
    </w:rPr>
  </w:style>
  <w:style w:type="character" w:customStyle="1" w:styleId="a7">
    <w:name w:val="Подзаголовок Знак"/>
    <w:basedOn w:val="a0"/>
    <w:link w:val="a6"/>
    <w:rsid w:val="00133E47"/>
    <w:rPr>
      <w:rFonts w:eastAsiaTheme="minorEastAsia"/>
      <w:color w:val="5A5A5A" w:themeColor="text1" w:themeTint="A5"/>
      <w:spacing w:val="15"/>
      <w:lang w:eastAsia="ru-RU"/>
    </w:rPr>
  </w:style>
  <w:style w:type="character" w:customStyle="1" w:styleId="10">
    <w:name w:val="Заголовок 1 Знак"/>
    <w:basedOn w:val="a0"/>
    <w:link w:val="1"/>
    <w:rsid w:val="00D14053"/>
    <w:rPr>
      <w:rFonts w:ascii="Arial" w:eastAsia="Times New Roman" w:hAnsi="Arial" w:cs="Times New Roman"/>
      <w:b/>
      <w:kern w:val="28"/>
      <w:sz w:val="28"/>
      <w:szCs w:val="24"/>
      <w:lang w:eastAsia="ru-RU"/>
    </w:rPr>
  </w:style>
  <w:style w:type="character" w:customStyle="1" w:styleId="40">
    <w:name w:val="Заголовок 4 Знак"/>
    <w:basedOn w:val="a0"/>
    <w:link w:val="4"/>
    <w:rsid w:val="00D14053"/>
    <w:rPr>
      <w:rFonts w:ascii="Arial" w:eastAsia="Times New Roman" w:hAnsi="Arial" w:cs="Times New Roman"/>
      <w:b/>
      <w:sz w:val="24"/>
      <w:szCs w:val="24"/>
      <w:lang w:eastAsia="ru-RU"/>
    </w:rPr>
  </w:style>
  <w:style w:type="character" w:customStyle="1" w:styleId="50">
    <w:name w:val="Заголовок 5 Знак"/>
    <w:basedOn w:val="a0"/>
    <w:link w:val="5"/>
    <w:rsid w:val="00D14053"/>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D14053"/>
    <w:rPr>
      <w:rFonts w:ascii="Times New Roman" w:eastAsia="Times New Roman" w:hAnsi="Times New Roman" w:cs="Times New Roman"/>
      <w:i/>
      <w:sz w:val="24"/>
      <w:szCs w:val="24"/>
      <w:lang w:eastAsia="ru-RU"/>
    </w:rPr>
  </w:style>
  <w:style w:type="character" w:customStyle="1" w:styleId="70">
    <w:name w:val="Заголовок 7 Знак"/>
    <w:basedOn w:val="a0"/>
    <w:link w:val="7"/>
    <w:rsid w:val="00D14053"/>
    <w:rPr>
      <w:rFonts w:ascii="Arial" w:eastAsia="Times New Roman" w:hAnsi="Arial" w:cs="Times New Roman"/>
      <w:sz w:val="20"/>
      <w:szCs w:val="24"/>
      <w:lang w:eastAsia="ru-RU"/>
    </w:rPr>
  </w:style>
  <w:style w:type="character" w:customStyle="1" w:styleId="80">
    <w:name w:val="Заголовок 8 Знак"/>
    <w:basedOn w:val="a0"/>
    <w:link w:val="8"/>
    <w:rsid w:val="00D14053"/>
    <w:rPr>
      <w:rFonts w:ascii="Arial" w:eastAsia="Times New Roman" w:hAnsi="Arial" w:cs="Times New Roman"/>
      <w:i/>
      <w:sz w:val="20"/>
      <w:szCs w:val="24"/>
      <w:lang w:eastAsia="ru-RU"/>
    </w:rPr>
  </w:style>
  <w:style w:type="character" w:customStyle="1" w:styleId="90">
    <w:name w:val="Заголовок 9 Знак"/>
    <w:basedOn w:val="a0"/>
    <w:link w:val="9"/>
    <w:rsid w:val="00D14053"/>
    <w:rPr>
      <w:rFonts w:ascii="Arial" w:eastAsia="Times New Roman" w:hAnsi="Arial" w:cs="Times New Roman"/>
      <w:b/>
      <w:i/>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khoriz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ients@ikhoriz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ents@ukhorizon.ru" TargetMode="External"/><Relationship Id="rId11" Type="http://schemas.openxmlformats.org/officeDocument/2006/relationships/hyperlink" Target="https://ukhorizon.online/" TargetMode="External"/><Relationship Id="rId5" Type="http://schemas.openxmlformats.org/officeDocument/2006/relationships/hyperlink" Target="mailto:clients@ukhorizon.ru" TargetMode="External"/><Relationship Id="rId10" Type="http://schemas.openxmlformats.org/officeDocument/2006/relationships/hyperlink" Target="https://ukhorizon.online/" TargetMode="External"/><Relationship Id="rId4" Type="http://schemas.openxmlformats.org/officeDocument/2006/relationships/webSettings" Target="webSettings.xml"/><Relationship Id="rId9" Type="http://schemas.openxmlformats.org/officeDocument/2006/relationships/hyperlink" Target="https://ukhoriz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dc:creator>
  <cp:keywords/>
  <dc:description/>
  <cp:lastModifiedBy>Фалин Алексей Иванович</cp:lastModifiedBy>
  <cp:revision>3</cp:revision>
  <dcterms:created xsi:type="dcterms:W3CDTF">2024-10-08T12:34:00Z</dcterms:created>
  <dcterms:modified xsi:type="dcterms:W3CDTF">2024-10-08T12:57:00Z</dcterms:modified>
</cp:coreProperties>
</file>