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3E19" w14:textId="1CCA4941" w:rsidR="006B3ED7" w:rsidRPr="00D068FC" w:rsidRDefault="006B3ED7" w:rsidP="00344907">
      <w:pPr>
        <w:spacing w:after="0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D068FC">
        <w:rPr>
          <w:rFonts w:ascii="Times New Roman" w:hAnsi="Times New Roman"/>
          <w:sz w:val="16"/>
          <w:szCs w:val="16"/>
        </w:rPr>
        <w:t>Приложение № 1.2</w:t>
      </w:r>
    </w:p>
    <w:p w14:paraId="053C4B48" w14:textId="77777777" w:rsidR="006B3ED7" w:rsidRPr="00D068FC" w:rsidRDefault="006B3ED7" w:rsidP="00344907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D068FC">
        <w:rPr>
          <w:rFonts w:ascii="Times New Roman" w:hAnsi="Times New Roman"/>
          <w:sz w:val="16"/>
          <w:szCs w:val="16"/>
        </w:rPr>
        <w:t>к Регламенту брокерского обслуживания</w:t>
      </w:r>
    </w:p>
    <w:p w14:paraId="7520C8EB" w14:textId="1DD874CE" w:rsidR="006B3ED7" w:rsidRPr="00D068FC" w:rsidRDefault="00C95B46" w:rsidP="006B3ED7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</w:t>
      </w:r>
      <w:r w:rsidR="006B3ED7" w:rsidRPr="00D068FC">
        <w:rPr>
          <w:rFonts w:ascii="Times New Roman" w:hAnsi="Times New Roman"/>
          <w:sz w:val="16"/>
          <w:szCs w:val="16"/>
        </w:rPr>
        <w:t>О «</w:t>
      </w:r>
      <w:r>
        <w:rPr>
          <w:rFonts w:ascii="Times New Roman" w:hAnsi="Times New Roman"/>
          <w:sz w:val="16"/>
          <w:szCs w:val="16"/>
        </w:rPr>
        <w:t>И</w:t>
      </w:r>
      <w:r w:rsidR="006B3ED7" w:rsidRPr="00D068FC">
        <w:rPr>
          <w:rFonts w:ascii="Times New Roman" w:hAnsi="Times New Roman"/>
          <w:sz w:val="16"/>
          <w:szCs w:val="16"/>
        </w:rPr>
        <w:t>К «Горизонт»</w:t>
      </w:r>
    </w:p>
    <w:tbl>
      <w:tblPr>
        <w:tblpPr w:leftFromText="180" w:rightFromText="180" w:vertAnchor="page" w:horzAnchor="margin" w:tblpY="1406"/>
        <w:tblW w:w="5079" w:type="pct"/>
        <w:tblLook w:val="04A0" w:firstRow="1" w:lastRow="0" w:firstColumn="1" w:lastColumn="0" w:noHBand="0" w:noVBand="1"/>
      </w:tblPr>
      <w:tblGrid>
        <w:gridCol w:w="3400"/>
        <w:gridCol w:w="2270"/>
        <w:gridCol w:w="3828"/>
      </w:tblGrid>
      <w:tr w:rsidR="000B6B66" w:rsidRPr="005B5089" w14:paraId="6E1E9E78" w14:textId="77777777" w:rsidTr="00852282">
        <w:trPr>
          <w:trHeight w:val="843"/>
        </w:trPr>
        <w:tc>
          <w:tcPr>
            <w:tcW w:w="1790" w:type="pct"/>
            <w:vMerge w:val="restart"/>
            <w:tcBorders>
              <w:right w:val="single" w:sz="4" w:space="0" w:color="auto"/>
            </w:tcBorders>
          </w:tcPr>
          <w:p w14:paraId="43172C1F" w14:textId="01918C0E" w:rsidR="000B6B66" w:rsidRPr="00D068FC" w:rsidRDefault="000B6B66" w:rsidP="004F3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FBCD" w14:textId="5B858742" w:rsidR="000B6B66" w:rsidRPr="00D068FC" w:rsidRDefault="000B6B66" w:rsidP="006E5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FC">
              <w:rPr>
                <w:rFonts w:ascii="Times New Roman" w:hAnsi="Times New Roman"/>
                <w:b/>
                <w:sz w:val="20"/>
                <w:szCs w:val="20"/>
              </w:rPr>
              <w:t>Заявление о</w:t>
            </w:r>
            <w:r w:rsidR="00102031" w:rsidRPr="00D068FC">
              <w:rPr>
                <w:rFonts w:ascii="Times New Roman" w:hAnsi="Times New Roman"/>
                <w:b/>
                <w:sz w:val="20"/>
                <w:szCs w:val="20"/>
              </w:rPr>
              <w:t xml:space="preserve">б изменении условий </w:t>
            </w:r>
            <w:r w:rsidR="00E258A6" w:rsidRPr="00D068FC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="00102031" w:rsidRPr="00D068FC">
              <w:rPr>
                <w:rFonts w:ascii="Times New Roman" w:hAnsi="Times New Roman"/>
                <w:b/>
                <w:sz w:val="20"/>
                <w:szCs w:val="20"/>
              </w:rPr>
              <w:t>рокерского обслуживания</w:t>
            </w:r>
          </w:p>
        </w:tc>
      </w:tr>
      <w:tr w:rsidR="000B6B66" w:rsidRPr="005B5089" w14:paraId="5E1E95DF" w14:textId="77777777" w:rsidTr="00852282">
        <w:trPr>
          <w:trHeight w:val="423"/>
        </w:trPr>
        <w:tc>
          <w:tcPr>
            <w:tcW w:w="1790" w:type="pct"/>
            <w:vMerge/>
            <w:tcBorders>
              <w:right w:val="single" w:sz="4" w:space="0" w:color="auto"/>
            </w:tcBorders>
          </w:tcPr>
          <w:p w14:paraId="2C839392" w14:textId="77777777" w:rsidR="000B6B66" w:rsidRPr="00D068FC" w:rsidRDefault="000B6B66" w:rsidP="004F3AC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0661" w14:textId="0A57292F" w:rsidR="000B6B66" w:rsidRPr="00D068FC" w:rsidRDefault="000B6B66" w:rsidP="006B3E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068FC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="003A7FD0">
              <w:rPr>
                <w:rFonts w:ascii="Times New Roman" w:hAnsi="Times New Roman"/>
                <w:sz w:val="16"/>
                <w:szCs w:val="16"/>
              </w:rPr>
              <w:t>Акционерное общество «Инвестиционная компания «Горизонт»</w:t>
            </w:r>
          </w:p>
        </w:tc>
      </w:tr>
      <w:tr w:rsidR="00FA09D9" w:rsidRPr="005B5089" w14:paraId="1D568852" w14:textId="77777777" w:rsidTr="00852282">
        <w:trPr>
          <w:trHeight w:val="418"/>
        </w:trPr>
        <w:tc>
          <w:tcPr>
            <w:tcW w:w="1790" w:type="pct"/>
            <w:vMerge/>
            <w:tcBorders>
              <w:right w:val="single" w:sz="4" w:space="0" w:color="auto"/>
            </w:tcBorders>
          </w:tcPr>
          <w:p w14:paraId="28718969" w14:textId="77777777" w:rsidR="000B6B66" w:rsidRPr="00D068FC" w:rsidRDefault="000B6B66" w:rsidP="004F3A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0D99" w14:textId="6B048BBC" w:rsidR="000B6B66" w:rsidRPr="00D068FC" w:rsidRDefault="000B6B66" w:rsidP="004F3A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068FC">
              <w:rPr>
                <w:rFonts w:ascii="Times New Roman" w:hAnsi="Times New Roman"/>
                <w:b/>
                <w:sz w:val="16"/>
                <w:szCs w:val="16"/>
              </w:rPr>
              <w:t>ФИО / Полное наименование Клиента:</w:t>
            </w:r>
            <w:r w:rsidRPr="00D068FC">
              <w:rPr>
                <w:rStyle w:val="a3"/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B3C0" w14:textId="77777777" w:rsidR="000B6B66" w:rsidRPr="00D068FC" w:rsidRDefault="000B6B66" w:rsidP="004F3A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6B66" w:rsidRPr="005B5089" w14:paraId="41A52FE7" w14:textId="77777777" w:rsidTr="00852282">
        <w:trPr>
          <w:trHeight w:val="418"/>
        </w:trPr>
        <w:tc>
          <w:tcPr>
            <w:tcW w:w="1790" w:type="pct"/>
            <w:vMerge/>
            <w:tcBorders>
              <w:right w:val="single" w:sz="4" w:space="0" w:color="auto"/>
            </w:tcBorders>
          </w:tcPr>
          <w:p w14:paraId="780B801E" w14:textId="77777777" w:rsidR="000B6B66" w:rsidRPr="00D068FC" w:rsidRDefault="000B6B66" w:rsidP="004F3ACF">
            <w:pPr>
              <w:spacing w:after="0" w:line="240" w:lineRule="auto"/>
              <w:jc w:val="right"/>
              <w:rPr>
                <w:rFonts w:ascii="Times New Roman" w:eastAsia="MS Gothic" w:hAnsi="Times New Roman"/>
                <w:sz w:val="16"/>
                <w:szCs w:val="16"/>
              </w:rPr>
            </w:pPr>
          </w:p>
        </w:tc>
        <w:tc>
          <w:tcPr>
            <w:tcW w:w="3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B89C" w14:textId="2B8C2432" w:rsidR="000B6B66" w:rsidRPr="00D068FC" w:rsidRDefault="00652535" w:rsidP="004F3AC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-8128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C9F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4C9F" w:rsidRPr="00D068FC" w:rsidDel="00844C9F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0B6B66" w:rsidRPr="00D068FC">
              <w:rPr>
                <w:rFonts w:ascii="Times New Roman" w:hAnsi="Times New Roman"/>
                <w:sz w:val="16"/>
                <w:szCs w:val="16"/>
              </w:rPr>
              <w:t>Действую в качестве доверительного управляющего</w:t>
            </w:r>
          </w:p>
          <w:p w14:paraId="490AE2A2" w14:textId="77777777" w:rsidR="000B6B66" w:rsidRPr="00D068FC" w:rsidRDefault="000B6B66" w:rsidP="004F3AC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068FC">
              <w:rPr>
                <w:rFonts w:ascii="Times New Roman" w:hAnsi="Times New Roman"/>
                <w:sz w:val="16"/>
                <w:szCs w:val="16"/>
              </w:rPr>
              <w:t xml:space="preserve">Наименование имущества – объекта доверительного управления </w:t>
            </w:r>
            <w:r w:rsidRPr="00D068FC">
              <w:rPr>
                <w:rStyle w:val="a3"/>
                <w:rFonts w:ascii="Times New Roman" w:hAnsi="Times New Roman"/>
                <w:b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68FC">
              <w:rPr>
                <w:rStyle w:val="a3"/>
                <w:rFonts w:ascii="Times New Roman" w:hAnsi="Times New Roman"/>
                <w:b/>
                <w:color w:val="000000"/>
              </w:rPr>
              <w:instrText xml:space="preserve"> FORMTEXT </w:instrText>
            </w:r>
            <w:r w:rsidRPr="00D068FC">
              <w:rPr>
                <w:rStyle w:val="a3"/>
                <w:rFonts w:ascii="Times New Roman" w:hAnsi="Times New Roman"/>
                <w:b/>
                <w:color w:val="000000"/>
              </w:rPr>
            </w:r>
            <w:r w:rsidRPr="00D068FC">
              <w:rPr>
                <w:rStyle w:val="a3"/>
                <w:rFonts w:ascii="Times New Roman" w:hAnsi="Times New Roman"/>
                <w:b/>
                <w:color w:val="000000"/>
              </w:rPr>
              <w:fldChar w:fldCharType="separate"/>
            </w:r>
            <w:r w:rsidRPr="00D068FC">
              <w:rPr>
                <w:rStyle w:val="a3"/>
                <w:rFonts w:ascii="Times New Roman" w:hAnsi="Times New Roman"/>
                <w:b/>
                <w:noProof/>
                <w:color w:val="000000"/>
              </w:rPr>
              <w:t> </w:t>
            </w:r>
            <w:r w:rsidRPr="00D068FC">
              <w:rPr>
                <w:rStyle w:val="a3"/>
                <w:rFonts w:ascii="Times New Roman" w:hAnsi="Times New Roman"/>
                <w:b/>
                <w:noProof/>
                <w:color w:val="000000"/>
              </w:rPr>
              <w:t> </w:t>
            </w:r>
            <w:r w:rsidRPr="00D068FC">
              <w:rPr>
                <w:rStyle w:val="a3"/>
                <w:rFonts w:ascii="Times New Roman" w:hAnsi="Times New Roman"/>
                <w:b/>
                <w:noProof/>
                <w:color w:val="000000"/>
              </w:rPr>
              <w:t> </w:t>
            </w:r>
            <w:r w:rsidRPr="00D068FC">
              <w:rPr>
                <w:rStyle w:val="a3"/>
                <w:rFonts w:ascii="Times New Roman" w:hAnsi="Times New Roman"/>
                <w:b/>
                <w:noProof/>
                <w:color w:val="000000"/>
              </w:rPr>
              <w:t> </w:t>
            </w:r>
            <w:r w:rsidRPr="00D068FC">
              <w:rPr>
                <w:rStyle w:val="a3"/>
                <w:rFonts w:ascii="Times New Roman" w:hAnsi="Times New Roman"/>
                <w:b/>
                <w:noProof/>
                <w:color w:val="000000"/>
              </w:rPr>
              <w:t> </w:t>
            </w:r>
            <w:r w:rsidRPr="00D068FC">
              <w:rPr>
                <w:rStyle w:val="a3"/>
                <w:rFonts w:ascii="Times New Roman" w:hAnsi="Times New Roman"/>
                <w:b/>
                <w:color w:val="000000"/>
              </w:rPr>
              <w:fldChar w:fldCharType="end"/>
            </w:r>
          </w:p>
        </w:tc>
      </w:tr>
      <w:tr w:rsidR="00FA09D9" w:rsidRPr="005B5089" w14:paraId="3F002AF0" w14:textId="77777777" w:rsidTr="00852282">
        <w:trPr>
          <w:trHeight w:val="505"/>
        </w:trPr>
        <w:tc>
          <w:tcPr>
            <w:tcW w:w="1790" w:type="pct"/>
            <w:vMerge/>
            <w:tcBorders>
              <w:right w:val="single" w:sz="4" w:space="0" w:color="auto"/>
            </w:tcBorders>
          </w:tcPr>
          <w:p w14:paraId="49430961" w14:textId="77777777" w:rsidR="002E431B" w:rsidRPr="00D068FC" w:rsidRDefault="002E431B" w:rsidP="004F3A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BE98" w14:textId="6C3F08D7" w:rsidR="002E431B" w:rsidRPr="00D068FC" w:rsidRDefault="002E431B" w:rsidP="004F3A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068FC">
              <w:rPr>
                <w:rFonts w:ascii="Times New Roman" w:hAnsi="Times New Roman"/>
                <w:b/>
                <w:sz w:val="16"/>
                <w:szCs w:val="16"/>
              </w:rPr>
              <w:t>Дата Заявления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8BF0" w14:textId="77777777" w:rsidR="002E431B" w:rsidRPr="00D068FC" w:rsidRDefault="002E431B" w:rsidP="004F3A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09D9" w:rsidRPr="005B5089" w14:paraId="2ADDB7DE" w14:textId="77777777" w:rsidTr="00852282">
        <w:trPr>
          <w:trHeight w:val="505"/>
        </w:trPr>
        <w:tc>
          <w:tcPr>
            <w:tcW w:w="1790" w:type="pct"/>
            <w:tcBorders>
              <w:right w:val="single" w:sz="4" w:space="0" w:color="auto"/>
            </w:tcBorders>
          </w:tcPr>
          <w:p w14:paraId="35D90A55" w14:textId="77777777" w:rsidR="00102031" w:rsidRPr="00D068FC" w:rsidRDefault="00102031" w:rsidP="004F3A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2948" w14:textId="16E38D6D" w:rsidR="00102031" w:rsidRPr="00D068FC" w:rsidRDefault="00102031" w:rsidP="004F3A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068FC">
              <w:rPr>
                <w:rFonts w:ascii="Times New Roman" w:hAnsi="Times New Roman"/>
                <w:b/>
                <w:sz w:val="16"/>
                <w:szCs w:val="16"/>
              </w:rPr>
              <w:t>Дата Договора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9728" w14:textId="77777777" w:rsidR="00102031" w:rsidRPr="00D068FC" w:rsidRDefault="00102031" w:rsidP="004F3A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09D9" w:rsidRPr="005B5089" w14:paraId="0C21892E" w14:textId="77777777" w:rsidTr="00852282">
        <w:trPr>
          <w:trHeight w:val="505"/>
        </w:trPr>
        <w:tc>
          <w:tcPr>
            <w:tcW w:w="1790" w:type="pct"/>
            <w:tcBorders>
              <w:right w:val="single" w:sz="4" w:space="0" w:color="auto"/>
            </w:tcBorders>
          </w:tcPr>
          <w:p w14:paraId="78261D9F" w14:textId="77777777" w:rsidR="00102031" w:rsidRPr="00D068FC" w:rsidRDefault="00102031" w:rsidP="004F3A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5A90" w14:textId="32B556E8" w:rsidR="00102031" w:rsidRPr="00D068FC" w:rsidRDefault="00102031" w:rsidP="004F3A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068FC">
              <w:rPr>
                <w:rFonts w:ascii="Times New Roman" w:hAnsi="Times New Roman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459F" w14:textId="77777777" w:rsidR="00102031" w:rsidRPr="00D068FC" w:rsidRDefault="00102031" w:rsidP="004F3A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2CB2019" w14:textId="77777777" w:rsidR="00601B9E" w:rsidRPr="00D068FC" w:rsidRDefault="00601B9E" w:rsidP="00743667">
      <w:pPr>
        <w:pStyle w:val="a4"/>
        <w:tabs>
          <w:tab w:val="left" w:pos="1134"/>
        </w:tabs>
        <w:spacing w:line="240" w:lineRule="auto"/>
        <w:ind w:left="1287"/>
        <w:rPr>
          <w:rFonts w:ascii="Times New Roman" w:hAnsi="Times New Roman"/>
          <w:sz w:val="20"/>
          <w:szCs w:val="20"/>
        </w:rPr>
      </w:pPr>
    </w:p>
    <w:p w14:paraId="4621CCAA" w14:textId="1F618812" w:rsidR="00B74268" w:rsidRPr="00D068FC" w:rsidRDefault="00B74268" w:rsidP="00B74268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imes New Roman" w:eastAsia="MS Gothic" w:hAnsi="Times New Roman"/>
          <w:sz w:val="16"/>
          <w:szCs w:val="16"/>
        </w:rPr>
      </w:pPr>
      <w:r w:rsidRPr="00D068FC">
        <w:rPr>
          <w:rFonts w:ascii="Times New Roman" w:eastAsia="MS Gothic" w:hAnsi="Times New Roman"/>
          <w:sz w:val="20"/>
          <w:szCs w:val="20"/>
        </w:rPr>
        <w:t xml:space="preserve">Единый лимит </w:t>
      </w:r>
      <w:r w:rsidRPr="00D068FC">
        <w:rPr>
          <w:rFonts w:ascii="Times New Roman" w:eastAsia="MS Gothic" w:hAnsi="Times New Roman"/>
          <w:i/>
          <w:sz w:val="20"/>
          <w:szCs w:val="20"/>
        </w:rPr>
        <w:t xml:space="preserve">(условие доступно только для Договоров о </w:t>
      </w:r>
      <w:r w:rsidR="006B3ED7" w:rsidRPr="00D068FC">
        <w:rPr>
          <w:rFonts w:ascii="Times New Roman" w:eastAsia="MS Gothic" w:hAnsi="Times New Roman"/>
          <w:i/>
          <w:sz w:val="20"/>
          <w:szCs w:val="20"/>
        </w:rPr>
        <w:t>б</w:t>
      </w:r>
      <w:r w:rsidRPr="00D068FC">
        <w:rPr>
          <w:rFonts w:ascii="Times New Roman" w:eastAsia="MS Gothic" w:hAnsi="Times New Roman"/>
          <w:i/>
          <w:sz w:val="20"/>
          <w:szCs w:val="20"/>
        </w:rPr>
        <w:t>рокерском обслуживании, условия которых изложены в Приложениях № 2</w:t>
      </w:r>
      <w:r w:rsidR="006B3ED7" w:rsidRPr="00D068FC">
        <w:rPr>
          <w:rFonts w:ascii="Times New Roman" w:eastAsia="MS Gothic" w:hAnsi="Times New Roman"/>
          <w:i/>
          <w:sz w:val="20"/>
          <w:szCs w:val="20"/>
        </w:rPr>
        <w:t>.1</w:t>
      </w:r>
      <w:r w:rsidRPr="00D068FC">
        <w:rPr>
          <w:rFonts w:ascii="Times New Roman" w:eastAsia="MS Gothic" w:hAnsi="Times New Roman"/>
          <w:i/>
          <w:sz w:val="20"/>
          <w:szCs w:val="20"/>
        </w:rPr>
        <w:t xml:space="preserve"> и 2</w:t>
      </w:r>
      <w:r w:rsidR="006B3ED7" w:rsidRPr="00D068FC">
        <w:rPr>
          <w:rFonts w:ascii="Times New Roman" w:eastAsia="MS Gothic" w:hAnsi="Times New Roman"/>
          <w:i/>
          <w:sz w:val="20"/>
          <w:szCs w:val="20"/>
        </w:rPr>
        <w:t>.</w:t>
      </w:r>
      <w:r w:rsidR="00B13AF2">
        <w:rPr>
          <w:rFonts w:ascii="Times New Roman" w:eastAsia="MS Gothic" w:hAnsi="Times New Roman"/>
          <w:i/>
          <w:sz w:val="20"/>
          <w:szCs w:val="20"/>
        </w:rPr>
        <w:t>2</w:t>
      </w:r>
      <w:r w:rsidR="00B13AF2" w:rsidRPr="00D068FC">
        <w:rPr>
          <w:rFonts w:ascii="Times New Roman" w:eastAsia="MS Gothic" w:hAnsi="Times New Roman"/>
          <w:i/>
          <w:sz w:val="20"/>
          <w:szCs w:val="20"/>
        </w:rPr>
        <w:t xml:space="preserve"> </w:t>
      </w:r>
      <w:r w:rsidRPr="00D068FC">
        <w:rPr>
          <w:rFonts w:ascii="Times New Roman" w:eastAsia="MS Gothic" w:hAnsi="Times New Roman"/>
          <w:i/>
          <w:sz w:val="20"/>
          <w:szCs w:val="20"/>
        </w:rPr>
        <w:t>Регламента</w:t>
      </w:r>
      <w:r w:rsidR="006B3ED7" w:rsidRPr="00D068FC">
        <w:rPr>
          <w:rFonts w:ascii="Times New Roman" w:eastAsia="MS Gothic" w:hAnsi="Times New Roman"/>
          <w:i/>
          <w:sz w:val="20"/>
          <w:szCs w:val="20"/>
        </w:rPr>
        <w:t xml:space="preserve"> брокерского обслуживания</w:t>
      </w:r>
      <w:r w:rsidRPr="00D068FC">
        <w:rPr>
          <w:rFonts w:ascii="Times New Roman" w:eastAsia="MS Gothic" w:hAnsi="Times New Roman"/>
          <w:i/>
          <w:sz w:val="20"/>
          <w:szCs w:val="20"/>
        </w:rPr>
        <w:t>)</w:t>
      </w:r>
    </w:p>
    <w:tbl>
      <w:tblPr>
        <w:tblW w:w="9432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2"/>
      </w:tblGrid>
      <w:tr w:rsidR="00B74268" w:rsidRPr="005B5089" w14:paraId="73652F91" w14:textId="77777777" w:rsidTr="00852282">
        <w:trPr>
          <w:trHeight w:val="421"/>
        </w:trPr>
        <w:tc>
          <w:tcPr>
            <w:tcW w:w="9432" w:type="dxa"/>
          </w:tcPr>
          <w:p w14:paraId="26C287EA" w14:textId="311680AC" w:rsidR="00B74268" w:rsidRPr="00D068FC" w:rsidRDefault="00652535" w:rsidP="0085228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-102178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268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426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Настоящим прошу </w:t>
            </w:r>
            <w:sdt>
              <w:sdtPr>
                <w:rPr>
                  <w:rFonts w:ascii="Times New Roman" w:eastAsia="MS Gothic" w:hAnsi="Times New Roman"/>
                  <w:b/>
                  <w:i/>
                  <w:color w:val="FF0000"/>
                  <w:sz w:val="16"/>
                  <w:szCs w:val="16"/>
                </w:rPr>
                <w:id w:val="-816874443"/>
                <w:placeholder>
                  <w:docPart w:val="169110AA3E60411FBADE7382000448CB"/>
                </w:placeholder>
                <w:comboBox>
                  <w:listItem w:displayText="выберите вариант" w:value="выберите вариант"/>
                  <w:listItem w:displayText="оказывать" w:value="оказывать"/>
                  <w:listItem w:displayText="прекратить оказывать" w:value="прекратить оказывать"/>
                </w:comboBox>
              </w:sdtPr>
              <w:sdtEndPr/>
              <w:sdtContent>
                <w:r w:rsidR="00232731" w:rsidRPr="00D068FC">
                  <w:rPr>
                    <w:rFonts w:ascii="Times New Roman" w:eastAsia="MS Gothic" w:hAnsi="Times New Roman"/>
                    <w:b/>
                    <w:i/>
                    <w:color w:val="FF0000"/>
                    <w:sz w:val="16"/>
                    <w:szCs w:val="16"/>
                  </w:rPr>
                  <w:t>выберите вариант</w:t>
                </w:r>
              </w:sdtContent>
            </w:sdt>
            <w:r w:rsidR="00B7426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F70D45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мне </w:t>
            </w:r>
            <w:r w:rsidR="006B3ED7" w:rsidRPr="00D068FC"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="00B7426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рокерское обслуживание на условиях Единого лимита (условие брокерского обслуживания, при котором </w:t>
            </w:r>
            <w:r w:rsidR="004A3769" w:rsidRPr="004A3769">
              <w:rPr>
                <w:rFonts w:ascii="Times New Roman" w:eastAsia="MS Gothic" w:hAnsi="Times New Roman"/>
                <w:sz w:val="16"/>
                <w:szCs w:val="16"/>
              </w:rPr>
              <w:t>активы, обязательства и задолженность Клиента перед Компанией, входящие в Портфель фондового рынка-1 и в Портфель валютного рынка и рынка драгоценных металлов, объединены в один портфель - Портфель «Единый лимит»)</w:t>
            </w:r>
            <w:r w:rsidR="00B74268"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0FE4E691" w14:textId="2141AE1E" w:rsidR="00B74268" w:rsidRPr="00D068FC" w:rsidRDefault="00232731" w:rsidP="0085228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Предоставление </w:t>
            </w:r>
            <w:r w:rsidR="006B3ED7" w:rsidRPr="00D068FC"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рокерского</w:t>
            </w:r>
            <w:r w:rsidR="00B7426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обслуживани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я</w:t>
            </w:r>
            <w:r w:rsidR="00B7426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на условиях Единого лимита означает, что</w:t>
            </w:r>
          </w:p>
          <w:p w14:paraId="5B6DF1E3" w14:textId="1A5F4B0E" w:rsidR="00B74268" w:rsidRPr="00D068FC" w:rsidRDefault="00B74268" w:rsidP="0085228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Клиент поручает, а Компания регистрирует Клиента в торговых системах: ПАО Московская Биржа: Сектор фондового рынка и ПАО Московская Биржа: Валютный рынок</w:t>
            </w:r>
            <w:r w:rsidR="00E1097E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 рынок драгоценных металлов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, при этом Клиент вправе зарегистрироваться и в других Торговых системах</w:t>
            </w:r>
            <w:r w:rsidR="00B83401">
              <w:rPr>
                <w:rFonts w:ascii="Times New Roman" w:eastAsia="MS Gothic" w:hAnsi="Times New Roman"/>
                <w:sz w:val="16"/>
                <w:szCs w:val="16"/>
              </w:rPr>
              <w:t>;</w:t>
            </w:r>
          </w:p>
          <w:p w14:paraId="030BF267" w14:textId="082BB36A" w:rsidR="00B83401" w:rsidRDefault="00B83401" w:rsidP="00852282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>Клиент предоставляет Компании право использования денежных средств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 и ценных бумаг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Клиента в своих интересах;</w:t>
            </w:r>
          </w:p>
          <w:p w14:paraId="65DE95E8" w14:textId="343F9C59" w:rsidR="00B83401" w:rsidRPr="00B83401" w:rsidRDefault="00B83401" w:rsidP="00B8340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Направление Клиентом Заявления об изменении условий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рокерского обслуживания с отметкой о предоставлении Клиенту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>рокерского обслуживания на условиях Единого лимита, означает направление Клиентом заявления о предоставлении Компании права использования денежных средств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 и ценных бумаг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Клиента в своих интересах (если ранее такое право Клиентом не было предоставлено Компании). В этом случае (1) заявление Клиента о предоставлении Компании права использования денежных средств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 и ценных бумаг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Клиента в своих интересах считается направленным вне зависимости от наличия отдельной отметки о предоставлении Компании права использования денежных </w:t>
            </w:r>
            <w:r w:rsidRPr="005D29C0">
              <w:rPr>
                <w:rFonts w:ascii="Times New Roman" w:eastAsia="MS Gothic" w:hAnsi="Times New Roman"/>
                <w:sz w:val="16"/>
                <w:szCs w:val="16"/>
              </w:rPr>
              <w:t xml:space="preserve">средств Клиента в своих интересах в таком заявлении, (2) Клиент подтверждает, что он (i) ознакомлен с </w:t>
            </w:r>
            <w:r w:rsidR="001C4AC9" w:rsidRPr="005D29C0">
              <w:rPr>
                <w:rFonts w:ascii="Times New Roman" w:eastAsia="MS Gothic" w:hAnsi="Times New Roman"/>
                <w:sz w:val="16"/>
                <w:szCs w:val="16"/>
              </w:rPr>
              <w:t xml:space="preserve">Декларацией о рисках использования брокером в своих интересах денежных средств и/или ценных бумаг клиента и Уведомлением о праве направить брокеру заявление об отказе от предоставления брокеру права использования в своих интересах денежных средств и/или ценных бумаг клиента </w:t>
            </w:r>
            <w:r w:rsidRPr="005D29C0">
              <w:rPr>
                <w:rFonts w:ascii="Times New Roman" w:eastAsia="MS Gothic" w:hAnsi="Times New Roman"/>
                <w:sz w:val="16"/>
                <w:szCs w:val="16"/>
              </w:rPr>
              <w:t>(раздел 4 настоящего заявления); (</w:t>
            </w:r>
            <w:proofErr w:type="spellStart"/>
            <w:r w:rsidRPr="005D29C0">
              <w:rPr>
                <w:rFonts w:ascii="Times New Roman" w:eastAsia="MS Gothic" w:hAnsi="Times New Roman"/>
                <w:sz w:val="16"/>
                <w:szCs w:val="16"/>
              </w:rPr>
              <w:t>ii</w:t>
            </w:r>
            <w:proofErr w:type="spellEnd"/>
            <w:r w:rsidRPr="005D29C0">
              <w:rPr>
                <w:rFonts w:ascii="Times New Roman" w:eastAsia="MS Gothic" w:hAnsi="Times New Roman"/>
                <w:sz w:val="16"/>
                <w:szCs w:val="16"/>
              </w:rPr>
              <w:t>) риски использования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Компанией в своих интересах денежных средств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 и ценных бумаг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Клиента ему понятны и принимаются им; (</w:t>
            </w:r>
            <w:proofErr w:type="spellStart"/>
            <w:r w:rsidRPr="00B83401">
              <w:rPr>
                <w:rFonts w:ascii="Times New Roman" w:eastAsia="MS Gothic" w:hAnsi="Times New Roman"/>
                <w:sz w:val="16"/>
                <w:szCs w:val="16"/>
              </w:rPr>
              <w:t>iii</w:t>
            </w:r>
            <w:proofErr w:type="spellEnd"/>
            <w:r w:rsidRPr="00B83401">
              <w:rPr>
                <w:rFonts w:ascii="Times New Roman" w:eastAsia="MS Gothic" w:hAnsi="Times New Roman"/>
                <w:sz w:val="16"/>
                <w:szCs w:val="16"/>
              </w:rPr>
              <w:t>) ознакомлен с тем, что использование Компанией денежных средств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 и ценных бумаг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осуществляется на безвозмездной основе, в том числе без распределения дохода, полученного от такого использования, в пользу Клиента.</w:t>
            </w:r>
          </w:p>
          <w:p w14:paraId="3F2D2AE7" w14:textId="075DCFBD" w:rsidR="00B83401" w:rsidRPr="00D068FC" w:rsidRDefault="00B83401" w:rsidP="00B8340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В случае если в одном Заявлении об изменении условий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рокерского обслуживания стоит отметка о предоставлении Клиенту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>рокерского обслуживания на условиях Единого лимита и отказ Клиента от предоставления Компании права использования денежных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 и/или ценных бумаг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средств Клиента в своих интересах, Компания не принимает во внимание отметку Клиента о предоставлении ему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рокерского обслуживания на условиях Единого лимита, 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рокерское обслуживание Клиента на условиях Единого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лимита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не осуществляется, Компания не использует 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соответственно 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>денежные средства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 и/или ценные бумаги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Клиента в своих интересах.</w:t>
            </w:r>
          </w:p>
          <w:p w14:paraId="5F810337" w14:textId="6BAB2714" w:rsidR="00232731" w:rsidRPr="00D068FC" w:rsidRDefault="00232731" w:rsidP="001450B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Клиент, отказавшийся от </w:t>
            </w:r>
            <w:r w:rsidR="006B3ED7" w:rsidRPr="00D068FC"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рокерского обслуживания на условиях </w:t>
            </w:r>
            <w:proofErr w:type="gramStart"/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Единого лимита</w:t>
            </w:r>
            <w:proofErr w:type="gramEnd"/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сохранят право подавать поручения на совершение сделок на </w:t>
            </w:r>
            <w:r w:rsidR="00E1097E" w:rsidRPr="00D068FC">
              <w:rPr>
                <w:rFonts w:ascii="Times New Roman" w:eastAsia="MS Gothic" w:hAnsi="Times New Roman"/>
                <w:sz w:val="16"/>
                <w:szCs w:val="16"/>
              </w:rPr>
              <w:t>Ф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ондовом </w:t>
            </w:r>
            <w:r w:rsidR="00E1097E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рынке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и </w:t>
            </w:r>
            <w:r w:rsidR="00E1097E" w:rsidRPr="00D068FC">
              <w:rPr>
                <w:rFonts w:ascii="Times New Roman" w:eastAsia="MS Gothic" w:hAnsi="Times New Roman"/>
                <w:sz w:val="16"/>
                <w:szCs w:val="16"/>
              </w:rPr>
              <w:t>В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алютном </w:t>
            </w:r>
            <w:r w:rsidR="00E1097E" w:rsidRPr="00D068FC">
              <w:rPr>
                <w:rFonts w:ascii="Times New Roman" w:eastAsia="MS Gothic" w:hAnsi="Times New Roman"/>
                <w:sz w:val="16"/>
                <w:szCs w:val="16"/>
              </w:rPr>
              <w:t>рынке и рынке драгоценных металлов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ПАО Московская Биржа на общих основаниях.</w:t>
            </w:r>
          </w:p>
        </w:tc>
      </w:tr>
    </w:tbl>
    <w:p w14:paraId="7F47D712" w14:textId="77777777" w:rsidR="00B74268" w:rsidRPr="00D068FC" w:rsidRDefault="00B74268" w:rsidP="00852282">
      <w:pPr>
        <w:tabs>
          <w:tab w:val="left" w:pos="1134"/>
        </w:tabs>
        <w:spacing w:line="240" w:lineRule="auto"/>
        <w:jc w:val="both"/>
        <w:rPr>
          <w:rFonts w:ascii="Times New Roman" w:eastAsia="MS Gothic" w:hAnsi="Times New Roman"/>
          <w:sz w:val="16"/>
          <w:szCs w:val="16"/>
        </w:rPr>
      </w:pPr>
    </w:p>
    <w:p w14:paraId="61DA4526" w14:textId="491B4736" w:rsidR="00BA3898" w:rsidRPr="00D068FC" w:rsidRDefault="00574625" w:rsidP="00852282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  <w:r w:rsidRPr="00D068FC">
        <w:rPr>
          <w:rFonts w:ascii="Times New Roman" w:eastAsia="MS Gothic" w:hAnsi="Times New Roman"/>
          <w:sz w:val="20"/>
          <w:szCs w:val="20"/>
        </w:rPr>
        <w:t xml:space="preserve">Изменения </w:t>
      </w:r>
      <w:r w:rsidR="006C75C3" w:rsidRPr="00D068FC">
        <w:rPr>
          <w:rFonts w:ascii="Times New Roman" w:eastAsia="MS Gothic" w:hAnsi="Times New Roman"/>
          <w:sz w:val="20"/>
          <w:szCs w:val="20"/>
        </w:rPr>
        <w:t>в торговых системах</w:t>
      </w:r>
      <w:r w:rsidR="00C74605" w:rsidRPr="00D068FC">
        <w:rPr>
          <w:rFonts w:ascii="Times New Roman" w:eastAsia="MS Gothic" w:hAnsi="Times New Roman"/>
          <w:sz w:val="20"/>
          <w:szCs w:val="20"/>
        </w:rPr>
        <w:t xml:space="preserve"> </w:t>
      </w:r>
      <w:r w:rsidR="00C74605" w:rsidRPr="00D068FC">
        <w:rPr>
          <w:rFonts w:ascii="Times New Roman" w:eastAsia="MS Gothic" w:hAnsi="Times New Roman"/>
          <w:i/>
          <w:sz w:val="20"/>
          <w:szCs w:val="20"/>
        </w:rPr>
        <w:t xml:space="preserve">(Клиентам, </w:t>
      </w:r>
      <w:r w:rsidR="006B3ED7" w:rsidRPr="00D068FC">
        <w:rPr>
          <w:rFonts w:ascii="Times New Roman" w:eastAsia="MS Gothic" w:hAnsi="Times New Roman"/>
          <w:i/>
          <w:sz w:val="20"/>
          <w:szCs w:val="20"/>
        </w:rPr>
        <w:t>б</w:t>
      </w:r>
      <w:r w:rsidR="00C74605" w:rsidRPr="00D068FC">
        <w:rPr>
          <w:rFonts w:ascii="Times New Roman" w:eastAsia="MS Gothic" w:hAnsi="Times New Roman"/>
          <w:i/>
          <w:sz w:val="20"/>
          <w:szCs w:val="20"/>
        </w:rPr>
        <w:t>рокерское обслуживание которых осуществляется на условиях Единого лимита</w:t>
      </w:r>
      <w:r w:rsidR="004758A3" w:rsidRPr="00D068FC">
        <w:rPr>
          <w:rFonts w:ascii="Times New Roman" w:eastAsia="MS Gothic" w:hAnsi="Times New Roman"/>
          <w:i/>
          <w:sz w:val="20"/>
          <w:szCs w:val="20"/>
        </w:rPr>
        <w:t>, возможность отменить регистрацию на фондовом и валютном рынках ПАО Московская Биржа не предоставляется без отмены Единого лимита</w:t>
      </w:r>
      <w:r w:rsidR="00C74605" w:rsidRPr="00D068FC">
        <w:rPr>
          <w:rFonts w:ascii="Times New Roman" w:eastAsia="MS Gothic" w:hAnsi="Times New Roman"/>
          <w:i/>
          <w:sz w:val="20"/>
          <w:szCs w:val="20"/>
        </w:rPr>
        <w:t>)</w:t>
      </w:r>
      <w:r w:rsidR="006C75C3" w:rsidRPr="00D068FC">
        <w:rPr>
          <w:rFonts w:ascii="Times New Roman" w:eastAsia="MS Gothic" w:hAnsi="Times New Roman"/>
          <w:i/>
          <w:sz w:val="20"/>
          <w:szCs w:val="20"/>
        </w:rPr>
        <w:t>:</w:t>
      </w:r>
    </w:p>
    <w:tbl>
      <w:tblPr>
        <w:tblpPr w:leftFromText="180" w:rightFromText="180" w:vertAnchor="text" w:horzAnchor="margin" w:tblpY="213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914"/>
      </w:tblGrid>
      <w:tr w:rsidR="00574625" w:rsidRPr="005B5089" w14:paraId="655598BC" w14:textId="77777777" w:rsidTr="00E762AB">
        <w:trPr>
          <w:trHeight w:val="323"/>
        </w:trPr>
        <w:tc>
          <w:tcPr>
            <w:tcW w:w="94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1B129" w14:textId="74FE5B26" w:rsidR="00574625" w:rsidRPr="00D068FC" w:rsidRDefault="00574625" w:rsidP="00574625">
            <w:pPr>
              <w:pStyle w:val="a4"/>
              <w:spacing w:after="0" w:line="240" w:lineRule="auto"/>
              <w:ind w:left="0"/>
              <w:rPr>
                <w:rFonts w:ascii="Times New Roman" w:eastAsia="MS Gothic" w:hAnsi="Times New Roman"/>
                <w:i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Прошу</w:t>
            </w:r>
            <w:r w:rsidR="00D844E3" w:rsidRPr="00D068FC">
              <w:rPr>
                <w:rFonts w:ascii="Times New Roman" w:eastAsia="MS Gothic" w:hAnsi="Times New Roman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MS Gothic" w:hAnsi="Times New Roman"/>
                  <w:b/>
                  <w:i/>
                  <w:color w:val="FF0000"/>
                  <w:sz w:val="16"/>
                  <w:szCs w:val="16"/>
                </w:rPr>
                <w:id w:val="1831945397"/>
                <w:placeholder>
                  <w:docPart w:val="7E52357633914F15A4EEE03AD3BCA0D1"/>
                </w:placeholder>
                <w:comboBox>
                  <w:listItem w:displayText="выберите вариант" w:value="выберите вариант"/>
                  <w:listItem w:displayText="зарегистрировать" w:value="зарегистрировать"/>
                  <w:listItem w:displayText="отменить регистрацию" w:value="отменить регистрацию"/>
                </w:comboBox>
              </w:sdtPr>
              <w:sdtEndPr/>
              <w:sdtContent>
                <w:r w:rsidR="007E73C5" w:rsidRPr="00D068FC">
                  <w:rPr>
                    <w:rFonts w:ascii="Times New Roman" w:eastAsia="MS Gothic" w:hAnsi="Times New Roman"/>
                    <w:b/>
                    <w:i/>
                    <w:color w:val="FF0000"/>
                    <w:sz w:val="16"/>
                    <w:szCs w:val="16"/>
                  </w:rPr>
                  <w:t>выберите вариант</w:t>
                </w:r>
              </w:sdtContent>
            </w:sdt>
            <w:r w:rsidR="00D844E3" w:rsidRPr="00D068FC">
              <w:rPr>
                <w:rFonts w:ascii="Times New Roman" w:eastAsia="MS Gothic" w:hAnsi="Times New Roman"/>
                <w:b/>
                <w:sz w:val="16"/>
                <w:szCs w:val="16"/>
              </w:rPr>
              <w:t>:</w:t>
            </w:r>
          </w:p>
          <w:p w14:paraId="7B6528BF" w14:textId="72D90FFC" w:rsidR="00574625" w:rsidRPr="00D068FC" w:rsidRDefault="00574625" w:rsidP="004F7165">
            <w:pPr>
              <w:pStyle w:val="a4"/>
              <w:ind w:left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p w14:paraId="3C6CFEA3" w14:textId="0B20879A" w:rsidR="00574625" w:rsidRPr="00D068FC" w:rsidRDefault="00574625" w:rsidP="00574625">
            <w:pPr>
              <w:pStyle w:val="a4"/>
              <w:ind w:left="0"/>
              <w:jc w:val="both"/>
              <w:rPr>
                <w:rFonts w:ascii="Times New Roman" w:eastAsia="MS Gothic" w:hAnsi="Times New Roman"/>
                <w:b/>
                <w:sz w:val="20"/>
                <w:szCs w:val="20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в следующей торговой системе (системах):</w:t>
            </w:r>
          </w:p>
          <w:p w14:paraId="2F623345" w14:textId="20AC4E97" w:rsidR="00574625" w:rsidRPr="00D068FC" w:rsidRDefault="00574625" w:rsidP="00574625">
            <w:pPr>
              <w:pStyle w:val="a4"/>
              <w:spacing w:after="0" w:line="240" w:lineRule="auto"/>
              <w:ind w:left="0"/>
              <w:rPr>
                <w:rFonts w:ascii="Times New Roman" w:eastAsia="MS Gothic" w:hAnsi="Times New Roman"/>
                <w:sz w:val="16"/>
                <w:szCs w:val="16"/>
              </w:rPr>
            </w:pPr>
          </w:p>
        </w:tc>
      </w:tr>
      <w:tr w:rsidR="00574625" w:rsidRPr="005B5089" w14:paraId="092BE620" w14:textId="77777777" w:rsidTr="004F7165">
        <w:trPr>
          <w:trHeight w:val="323"/>
        </w:trPr>
        <w:tc>
          <w:tcPr>
            <w:tcW w:w="562" w:type="dxa"/>
            <w:shd w:val="clear" w:color="auto" w:fill="auto"/>
            <w:vAlign w:val="center"/>
          </w:tcPr>
          <w:p w14:paraId="183BE95E" w14:textId="5ADF34D1" w:rsidR="00574625" w:rsidRPr="00D068FC" w:rsidRDefault="00652535" w:rsidP="004F716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106144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C9F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47EA9" w14:textId="49922F4F" w:rsidR="00574625" w:rsidRPr="00D068FC" w:rsidRDefault="00A82807" w:rsidP="00A82807">
            <w:pPr>
              <w:pStyle w:val="a4"/>
              <w:spacing w:after="0" w:line="240" w:lineRule="auto"/>
              <w:ind w:left="0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ПАО Московская Биржа</w:t>
            </w:r>
            <w:r w:rsidR="00574625" w:rsidRPr="00D068FC">
              <w:rPr>
                <w:rFonts w:ascii="Times New Roman" w:eastAsia="MS Gothic" w:hAnsi="Times New Roman"/>
                <w:sz w:val="16"/>
                <w:szCs w:val="16"/>
              </w:rPr>
              <w:t>: Сектор фондового рынка</w:t>
            </w:r>
          </w:p>
        </w:tc>
      </w:tr>
      <w:tr w:rsidR="00D22C64" w:rsidRPr="005B5089" w14:paraId="444ED482" w14:textId="77777777" w:rsidTr="004F7165">
        <w:trPr>
          <w:trHeight w:val="323"/>
        </w:trPr>
        <w:tc>
          <w:tcPr>
            <w:tcW w:w="562" w:type="dxa"/>
            <w:shd w:val="clear" w:color="auto" w:fill="auto"/>
            <w:vAlign w:val="center"/>
          </w:tcPr>
          <w:p w14:paraId="776E18C6" w14:textId="251DF264" w:rsidR="00D22C64" w:rsidRDefault="00652535" w:rsidP="004F716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MS Gothic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-19903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64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9646F" w14:textId="0FFC6CDF" w:rsidR="00D22C64" w:rsidRPr="00D068FC" w:rsidRDefault="00D22C64" w:rsidP="00A82807">
            <w:pPr>
              <w:pStyle w:val="a4"/>
              <w:spacing w:after="0" w:line="240" w:lineRule="auto"/>
              <w:ind w:left="0"/>
              <w:rPr>
                <w:rFonts w:ascii="Times New Roman" w:eastAsia="MS Gothic" w:hAnsi="Times New Roman"/>
                <w:sz w:val="16"/>
                <w:szCs w:val="16"/>
              </w:rPr>
            </w:pPr>
            <w:r w:rsidRPr="00527CC0">
              <w:rPr>
                <w:rFonts w:ascii="Times New Roman" w:eastAsia="MS Gothic" w:hAnsi="Times New Roman"/>
                <w:sz w:val="16"/>
                <w:szCs w:val="16"/>
              </w:rPr>
              <w:t>ПАО Московская Биржа: Срочный рынок</w:t>
            </w:r>
            <w:r w:rsidR="005E421E">
              <w:rPr>
                <w:rStyle w:val="af5"/>
                <w:rFonts w:ascii="Times New Roman" w:eastAsia="MS Gothic" w:hAnsi="Times New Roman"/>
                <w:sz w:val="16"/>
                <w:szCs w:val="16"/>
              </w:rPr>
              <w:endnoteReference w:id="1"/>
            </w:r>
          </w:p>
        </w:tc>
      </w:tr>
      <w:tr w:rsidR="00574625" w:rsidRPr="005B5089" w14:paraId="5853CE7B" w14:textId="77777777" w:rsidTr="004F7165">
        <w:trPr>
          <w:trHeight w:val="323"/>
        </w:trPr>
        <w:tc>
          <w:tcPr>
            <w:tcW w:w="562" w:type="dxa"/>
            <w:shd w:val="clear" w:color="auto" w:fill="auto"/>
            <w:vAlign w:val="center"/>
          </w:tcPr>
          <w:p w14:paraId="69A58CD9" w14:textId="101D3F77" w:rsidR="00574625" w:rsidRPr="00D068FC" w:rsidRDefault="00652535" w:rsidP="004F716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5713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C9F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4C9F" w:rsidRPr="00D068FC" w:rsidDel="00844C9F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9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94AB6" w14:textId="5C825A17" w:rsidR="00574625" w:rsidRPr="00D068FC" w:rsidRDefault="00AF3159" w:rsidP="00574625">
            <w:pPr>
              <w:pStyle w:val="a4"/>
              <w:spacing w:after="0" w:line="240" w:lineRule="auto"/>
              <w:ind w:left="0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ПАО Московская Биржа: Валютный рынок и рынок др</w:t>
            </w:r>
            <w:r w:rsidR="00E1097E" w:rsidRPr="00D068FC">
              <w:rPr>
                <w:rFonts w:ascii="Times New Roman" w:eastAsia="MS Gothic" w:hAnsi="Times New Roman"/>
                <w:sz w:val="16"/>
                <w:szCs w:val="16"/>
              </w:rPr>
              <w:t>агоценных металлов</w:t>
            </w:r>
            <w:r w:rsidR="00E1097E" w:rsidRPr="00D068FC">
              <w:rPr>
                <w:rStyle w:val="af5"/>
                <w:rFonts w:ascii="Times New Roman" w:eastAsia="MS Gothic" w:hAnsi="Times New Roman"/>
                <w:sz w:val="16"/>
                <w:szCs w:val="16"/>
              </w:rPr>
              <w:endnoteReference w:id="2"/>
            </w:r>
          </w:p>
        </w:tc>
      </w:tr>
    </w:tbl>
    <w:p w14:paraId="2B67F1E6" w14:textId="77777777" w:rsidR="008E01E6" w:rsidRPr="00D068FC" w:rsidRDefault="008E01E6" w:rsidP="008E01E6">
      <w:pPr>
        <w:pStyle w:val="a4"/>
        <w:tabs>
          <w:tab w:val="left" w:pos="1134"/>
        </w:tabs>
        <w:jc w:val="both"/>
        <w:rPr>
          <w:rFonts w:ascii="Times New Roman" w:eastAsia="MS Gothic" w:hAnsi="Times New Roman"/>
          <w:b/>
          <w:sz w:val="20"/>
          <w:szCs w:val="20"/>
        </w:rPr>
      </w:pPr>
    </w:p>
    <w:p w14:paraId="4DB7BFF9" w14:textId="0FA56E04" w:rsidR="006C75C3" w:rsidRPr="00D068FC" w:rsidRDefault="00BA3898" w:rsidP="006C75C3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  <w:r w:rsidRPr="00D068FC">
        <w:rPr>
          <w:rFonts w:ascii="Times New Roman" w:eastAsia="MS Gothic" w:hAnsi="Times New Roman"/>
          <w:sz w:val="20"/>
          <w:szCs w:val="20"/>
        </w:rPr>
        <w:t xml:space="preserve">Предоставление доступа к </w:t>
      </w:r>
      <w:r w:rsidR="008F3CAB" w:rsidRPr="00D068FC">
        <w:rPr>
          <w:rFonts w:ascii="Times New Roman" w:eastAsia="MS Gothic" w:hAnsi="Times New Roman"/>
          <w:sz w:val="20"/>
          <w:szCs w:val="20"/>
        </w:rPr>
        <w:t>С</w:t>
      </w:r>
      <w:r w:rsidRPr="00D068FC">
        <w:rPr>
          <w:rFonts w:ascii="Times New Roman" w:eastAsia="MS Gothic" w:hAnsi="Times New Roman"/>
          <w:sz w:val="20"/>
          <w:szCs w:val="20"/>
        </w:rPr>
        <w:t xml:space="preserve">истеме </w:t>
      </w:r>
      <w:r w:rsidR="008F3CAB" w:rsidRPr="00D068FC">
        <w:rPr>
          <w:rFonts w:ascii="Times New Roman" w:eastAsia="MS Gothic" w:hAnsi="Times New Roman"/>
          <w:sz w:val="20"/>
          <w:szCs w:val="20"/>
        </w:rPr>
        <w:t>и</w:t>
      </w:r>
      <w:r w:rsidRPr="00D068FC">
        <w:rPr>
          <w:rFonts w:ascii="Times New Roman" w:eastAsia="MS Gothic" w:hAnsi="Times New Roman"/>
          <w:sz w:val="20"/>
          <w:szCs w:val="20"/>
        </w:rPr>
        <w:t xml:space="preserve">нтернет-трейдинга и права использования </w:t>
      </w:r>
      <w:r w:rsidR="008E01E6" w:rsidRPr="00D068FC">
        <w:rPr>
          <w:rFonts w:ascii="Times New Roman" w:eastAsia="MS Gothic" w:hAnsi="Times New Roman"/>
          <w:sz w:val="20"/>
          <w:szCs w:val="20"/>
        </w:rPr>
        <w:t>программного обеспечения</w:t>
      </w:r>
      <w:r w:rsidR="00F318A1" w:rsidRPr="00D068FC">
        <w:rPr>
          <w:rFonts w:ascii="Times New Roman" w:eastAsia="MS Gothic" w:hAnsi="Times New Roman"/>
          <w:sz w:val="20"/>
          <w:szCs w:val="20"/>
        </w:rPr>
        <w:t xml:space="preserve"> </w:t>
      </w:r>
      <w:r w:rsidR="00F318A1" w:rsidRPr="00D068FC">
        <w:rPr>
          <w:rFonts w:ascii="Times New Roman" w:eastAsia="MS Gothic" w:hAnsi="Times New Roman"/>
          <w:sz w:val="20"/>
          <w:szCs w:val="20"/>
          <w:lang w:val="en-US"/>
        </w:rPr>
        <w:t>QUIK</w:t>
      </w:r>
      <w:r w:rsidR="008E01E6" w:rsidRPr="00D068FC">
        <w:rPr>
          <w:rFonts w:ascii="Times New Roman" w:eastAsia="MS Gothic" w:hAnsi="Times New Roman"/>
          <w:sz w:val="16"/>
          <w:szCs w:val="16"/>
        </w:rPr>
        <w:t>:</w:t>
      </w:r>
    </w:p>
    <w:tbl>
      <w:tblPr>
        <w:tblW w:w="9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3"/>
      </w:tblGrid>
      <w:tr w:rsidR="0013457B" w:rsidRPr="005B5089" w14:paraId="5F92CC48" w14:textId="77777777" w:rsidTr="00E762AB">
        <w:trPr>
          <w:trHeight w:val="704"/>
        </w:trPr>
        <w:tc>
          <w:tcPr>
            <w:tcW w:w="9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AA0F8" w14:textId="613A5A34" w:rsidR="004208C2" w:rsidRPr="00D068FC" w:rsidRDefault="004208C2" w:rsidP="004208C2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i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Выбирается один из представленных вариантов</w:t>
            </w:r>
          </w:p>
          <w:p w14:paraId="16A374EE" w14:textId="16F6E9C8" w:rsidR="004208C2" w:rsidRPr="00D068FC" w:rsidRDefault="004208C2" w:rsidP="004208C2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i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Вариант 1</w:t>
            </w:r>
          </w:p>
          <w:p w14:paraId="11CE030C" w14:textId="5123F6F3" w:rsidR="0013457B" w:rsidRPr="00D068FC" w:rsidRDefault="00652535" w:rsidP="00E762AB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-81363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268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2268" w:rsidRPr="00D068FC" w:rsidDel="00E82268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13457B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отметка о присоединении к </w:t>
            </w:r>
            <w:proofErr w:type="spellStart"/>
            <w:r w:rsidR="0013457B" w:rsidRPr="00D068FC">
              <w:rPr>
                <w:rFonts w:ascii="Times New Roman" w:eastAsia="MS Gothic" w:hAnsi="Times New Roman"/>
                <w:sz w:val="16"/>
                <w:szCs w:val="16"/>
              </w:rPr>
              <w:t>Сублицензионному</w:t>
            </w:r>
            <w:proofErr w:type="spellEnd"/>
            <w:r w:rsidR="0013457B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договору</w:t>
            </w:r>
            <w:r w:rsidR="00F318A1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на использование программного обеспечения </w:t>
            </w:r>
            <w:r w:rsidR="00F318A1" w:rsidRPr="00D068FC">
              <w:rPr>
                <w:rFonts w:ascii="Times New Roman" w:eastAsia="MS Gothic" w:hAnsi="Times New Roman"/>
                <w:sz w:val="16"/>
                <w:szCs w:val="16"/>
                <w:lang w:val="en-US"/>
              </w:rPr>
              <w:t>QUIK</w:t>
            </w:r>
          </w:p>
          <w:p w14:paraId="2757A453" w14:textId="5B4FC185" w:rsidR="0013457B" w:rsidRPr="00D068FC" w:rsidRDefault="0013457B" w:rsidP="00E762AB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Настоящим в соответствие со статьей 428 Гражданского кодекса РФ полностью принимаю условия </w:t>
            </w:r>
            <w:proofErr w:type="spellStart"/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Сублицензионного</w:t>
            </w:r>
            <w:proofErr w:type="spellEnd"/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договора </w:t>
            </w:r>
            <w:r w:rsidR="00F318A1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на использование программного обеспечения </w:t>
            </w:r>
            <w:r w:rsidR="00F318A1" w:rsidRPr="00D068FC">
              <w:rPr>
                <w:rFonts w:ascii="Times New Roman" w:eastAsia="MS Gothic" w:hAnsi="Times New Roman"/>
                <w:sz w:val="16"/>
                <w:szCs w:val="16"/>
                <w:lang w:val="en-US"/>
              </w:rPr>
              <w:t>QUIK</w:t>
            </w:r>
            <w:r w:rsidR="00F318A1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(далее – </w:t>
            </w:r>
            <w:proofErr w:type="spellStart"/>
            <w:r w:rsidR="00F318A1" w:rsidRPr="00D068FC">
              <w:rPr>
                <w:rFonts w:ascii="Times New Roman" w:eastAsia="MS Gothic" w:hAnsi="Times New Roman"/>
                <w:sz w:val="16"/>
                <w:szCs w:val="16"/>
              </w:rPr>
              <w:t>Сублицензионный</w:t>
            </w:r>
            <w:proofErr w:type="spellEnd"/>
            <w:r w:rsidR="00F318A1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договор),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форма и условия которого содержатся в Регламенте </w:t>
            </w:r>
            <w:r w:rsidR="006B3ED7" w:rsidRPr="00D068FC">
              <w:rPr>
                <w:rFonts w:ascii="Times New Roman" w:eastAsia="MS Gothic" w:hAnsi="Times New Roman"/>
                <w:sz w:val="16"/>
                <w:szCs w:val="16"/>
              </w:rPr>
              <w:t>брокерского обслуживания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, размещенном на странице Компании </w:t>
            </w:r>
            <w:r w:rsidR="00252646" w:rsidRPr="0075656B">
              <w:rPr>
                <w:rFonts w:ascii="Times New Roman" w:eastAsia="MS Gothic" w:hAnsi="Times New Roman"/>
                <w:sz w:val="16"/>
                <w:szCs w:val="16"/>
              </w:rPr>
              <w:t xml:space="preserve">в информационно-телекоммуникационной сети «Интернет», расположенной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по адресу: </w:t>
            </w:r>
            <w:r w:rsidR="00C4613A" w:rsidRPr="00902781">
              <w:rPr>
                <w:rFonts w:ascii="Times New Roman" w:eastAsia="MS Gothic" w:hAnsi="Times New Roman"/>
                <w:sz w:val="16"/>
                <w:szCs w:val="16"/>
              </w:rPr>
              <w:t>https://www. ikhorizon.ru</w:t>
            </w:r>
            <w:r w:rsidR="00C4613A">
              <w:rPr>
                <w:rFonts w:ascii="Times New Roman" w:eastAsia="MS Gothic" w:hAnsi="Times New Roman"/>
                <w:sz w:val="16"/>
                <w:szCs w:val="16"/>
              </w:rPr>
              <w:t xml:space="preserve">.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С даты вступления в силу </w:t>
            </w:r>
            <w:proofErr w:type="spellStart"/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Сублицензионного</w:t>
            </w:r>
            <w:proofErr w:type="spellEnd"/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договора, заключаемого на основании настоящего Заявления, принимаю на себя права и обязанности Сублицензиата, как они описаны в Приложении № </w:t>
            </w:r>
            <w:r w:rsidR="003A3680" w:rsidRPr="00D068FC">
              <w:rPr>
                <w:rFonts w:ascii="Times New Roman" w:eastAsia="MS Gothic" w:hAnsi="Times New Roman"/>
                <w:sz w:val="16"/>
                <w:szCs w:val="16"/>
              </w:rPr>
              <w:t>1</w:t>
            </w:r>
            <w:r w:rsidR="006B3ED7" w:rsidRPr="00D068FC">
              <w:rPr>
                <w:rFonts w:ascii="Times New Roman" w:eastAsia="MS Gothic" w:hAnsi="Times New Roman"/>
                <w:sz w:val="16"/>
                <w:szCs w:val="16"/>
              </w:rPr>
              <w:t>1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к Регламенту </w:t>
            </w:r>
            <w:r w:rsidR="006B3ED7" w:rsidRPr="00D068FC">
              <w:rPr>
                <w:rFonts w:ascii="Times New Roman" w:eastAsia="MS Gothic" w:hAnsi="Times New Roman"/>
                <w:sz w:val="16"/>
                <w:szCs w:val="16"/>
              </w:rPr>
              <w:t>брокерского обслуживания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0170CB5E" w14:textId="77777777" w:rsidR="00DF1653" w:rsidRPr="00D068FC" w:rsidRDefault="0013457B" w:rsidP="00E762AB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Подписанием настоящего Заявления</w:t>
            </w:r>
            <w:r w:rsidR="00DF1653" w:rsidRPr="00D068FC">
              <w:rPr>
                <w:rFonts w:ascii="Times New Roman" w:eastAsia="MS Gothic" w:hAnsi="Times New Roman"/>
                <w:sz w:val="16"/>
                <w:szCs w:val="16"/>
              </w:rPr>
              <w:t>:</w:t>
            </w:r>
          </w:p>
          <w:p w14:paraId="6847CA22" w14:textId="28493054" w:rsidR="0013457B" w:rsidRPr="00D068FC" w:rsidRDefault="0013457B" w:rsidP="00E762AB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подтверждаю, что с условиями </w:t>
            </w:r>
            <w:proofErr w:type="spellStart"/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Сублицензионного</w:t>
            </w:r>
            <w:proofErr w:type="spellEnd"/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договора и Регламента 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</w:rPr>
              <w:t>брокерского обслуживания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, ознакомлен и согласен, их содержание мне полностью понятно</w:t>
            </w:r>
            <w:r w:rsidR="00DF1653" w:rsidRPr="00D068FC">
              <w:rPr>
                <w:rFonts w:ascii="Times New Roman" w:eastAsia="MS Gothic" w:hAnsi="Times New Roman"/>
                <w:sz w:val="16"/>
                <w:szCs w:val="16"/>
              </w:rPr>
              <w:t>;</w:t>
            </w:r>
          </w:p>
          <w:p w14:paraId="1B550B85" w14:textId="0617C98D" w:rsidR="004208C2" w:rsidRPr="00D068FC" w:rsidRDefault="00DF1653" w:rsidP="004208C2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п</w:t>
            </w:r>
            <w:r w:rsidR="0013457B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рошу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Акционерное общество «Инвестиционная компания «Горизонт»</w:t>
            </w:r>
            <w:r w:rsidR="0013457B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предоставить доступ к Системе </w:t>
            </w:r>
            <w:r w:rsidR="008F3CAB" w:rsidRPr="00D068FC">
              <w:rPr>
                <w:rFonts w:ascii="Times New Roman" w:eastAsia="MS Gothic" w:hAnsi="Times New Roman"/>
                <w:sz w:val="16"/>
                <w:szCs w:val="16"/>
              </w:rPr>
              <w:t>и</w:t>
            </w:r>
            <w:r w:rsidR="0013457B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нтернет-трейдинга в соответствии с условиями Регламента 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</w:rPr>
              <w:t>брокерского обслуживания</w:t>
            </w:r>
            <w:r w:rsidR="0013457B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 предоставить право использования</w:t>
            </w:r>
            <w:r w:rsidR="00484271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программного обеспечения Рабочее место </w:t>
            </w:r>
            <w:r w:rsidR="00484271" w:rsidRPr="00D068FC">
              <w:rPr>
                <w:rFonts w:ascii="Times New Roman" w:eastAsia="MS Gothic" w:hAnsi="Times New Roman"/>
                <w:sz w:val="16"/>
                <w:szCs w:val="16"/>
                <w:lang w:val="en-US"/>
              </w:rPr>
              <w:t>QUIK</w:t>
            </w:r>
            <w:r w:rsidR="004208C2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(количество лицензий (количество одновременно используемых экземпляров программного обеспечения Рабочее место QUIK)</w:t>
            </w:r>
            <w:r w:rsidR="00BF1363" w:rsidRPr="00D068FC">
              <w:rPr>
                <w:rFonts w:ascii="Times New Roman" w:eastAsia="MS Gothic" w:hAnsi="Times New Roman"/>
                <w:sz w:val="16"/>
                <w:szCs w:val="16"/>
              </w:rPr>
              <w:t>: 1</w:t>
            </w:r>
            <w:r w:rsidR="004208C2" w:rsidRPr="00D068FC">
              <w:rPr>
                <w:rFonts w:ascii="Times New Roman" w:eastAsia="MS Gothic" w:hAnsi="Times New Roman"/>
                <w:sz w:val="16"/>
                <w:szCs w:val="16"/>
              </w:rPr>
              <w:t>)</w:t>
            </w:r>
            <w:r w:rsidR="0013457B"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28A7AF1B" w14:textId="77777777" w:rsidR="004208C2" w:rsidRPr="00D068FC" w:rsidRDefault="004208C2" w:rsidP="004208C2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i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Вариант 2</w:t>
            </w:r>
          </w:p>
          <w:p w14:paraId="156D22FC" w14:textId="47CE7CD7" w:rsidR="004208C2" w:rsidRPr="00D068FC" w:rsidRDefault="00652535" w:rsidP="004208C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12589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8C2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08C2" w:rsidRPr="00D068FC" w:rsidDel="00844C9F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4208C2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прошу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Акционерное общество «Инвестиционная компания «Горизонт»</w:t>
            </w:r>
            <w:r w:rsidR="004208C2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изменить количество лицензий программного обеспечения Рабочее место </w:t>
            </w:r>
            <w:r w:rsidR="004208C2" w:rsidRPr="00D068FC">
              <w:rPr>
                <w:rFonts w:ascii="Times New Roman" w:eastAsia="MS Gothic" w:hAnsi="Times New Roman"/>
                <w:sz w:val="16"/>
                <w:szCs w:val="16"/>
                <w:lang w:val="en-US"/>
              </w:rPr>
              <w:t>QUIK</w:t>
            </w:r>
          </w:p>
          <w:p w14:paraId="7B5DFBD3" w14:textId="1DCB9869" w:rsidR="004208C2" w:rsidRPr="00D068FC" w:rsidRDefault="004208C2" w:rsidP="00D068F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необходимое количество лицензий программного обеспечения Рабочее место QUIK</w:t>
            </w: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MS Gothic" w:hAnsi="Times New Roman"/>
                  <w:b/>
                  <w:color w:val="FF0000"/>
                  <w:sz w:val="16"/>
                  <w:szCs w:val="16"/>
                </w:rPr>
                <w:id w:val="76332881"/>
                <w:placeholder>
                  <w:docPart w:val="5F358BDFB06A47DCA7C399698A896BD6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Pr="00D068FC">
                  <w:rPr>
                    <w:rFonts w:ascii="Times New Roman" w:eastAsia="MS Gothic" w:hAnsi="Times New Roman"/>
                    <w:b/>
                    <w:color w:val="FF0000"/>
                    <w:sz w:val="16"/>
                    <w:szCs w:val="16"/>
                  </w:rPr>
                  <w:t>0</w:t>
                </w:r>
              </w:sdtContent>
            </w:sdt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 xml:space="preserve"> (указывается итоговое (с учетом изменений) количество лицензий):</w:t>
            </w:r>
          </w:p>
        </w:tc>
      </w:tr>
    </w:tbl>
    <w:p w14:paraId="50109FB5" w14:textId="77777777" w:rsidR="0014531C" w:rsidRPr="00D068FC" w:rsidRDefault="0014531C" w:rsidP="004F7165">
      <w:pPr>
        <w:pStyle w:val="a4"/>
        <w:tabs>
          <w:tab w:val="left" w:pos="851"/>
        </w:tabs>
        <w:jc w:val="both"/>
        <w:rPr>
          <w:rFonts w:ascii="Times New Roman" w:eastAsia="MS Gothic" w:hAnsi="Times New Roman"/>
          <w:sz w:val="20"/>
          <w:szCs w:val="20"/>
        </w:rPr>
      </w:pPr>
    </w:p>
    <w:p w14:paraId="6C94AE04" w14:textId="186880E1" w:rsidR="0014531C" w:rsidRPr="00E032F3" w:rsidRDefault="0014531C" w:rsidP="00E032F3">
      <w:pPr>
        <w:pStyle w:val="a4"/>
        <w:numPr>
          <w:ilvl w:val="1"/>
          <w:numId w:val="23"/>
        </w:numPr>
        <w:tabs>
          <w:tab w:val="left" w:pos="851"/>
        </w:tabs>
        <w:ind w:left="709"/>
        <w:jc w:val="both"/>
        <w:rPr>
          <w:rFonts w:ascii="Times New Roman" w:eastAsia="MS Gothic" w:hAnsi="Times New Roman"/>
          <w:sz w:val="20"/>
          <w:szCs w:val="20"/>
        </w:rPr>
      </w:pPr>
      <w:r w:rsidRPr="00E032F3">
        <w:rPr>
          <w:rFonts w:ascii="Times New Roman" w:eastAsia="MS Gothic" w:hAnsi="Times New Roman"/>
          <w:sz w:val="20"/>
          <w:szCs w:val="20"/>
        </w:rPr>
        <w:t xml:space="preserve">Заявление о регистрации представителей - физических лиц в Системе </w:t>
      </w:r>
      <w:r w:rsidR="008F3CAB" w:rsidRPr="00E032F3">
        <w:rPr>
          <w:rFonts w:ascii="Times New Roman" w:eastAsia="MS Gothic" w:hAnsi="Times New Roman"/>
          <w:sz w:val="20"/>
          <w:szCs w:val="20"/>
        </w:rPr>
        <w:t>и</w:t>
      </w:r>
      <w:r w:rsidRPr="00E032F3">
        <w:rPr>
          <w:rFonts w:ascii="Times New Roman" w:eastAsia="MS Gothic" w:hAnsi="Times New Roman"/>
          <w:sz w:val="20"/>
          <w:szCs w:val="20"/>
        </w:rPr>
        <w:t>нтернет-</w:t>
      </w:r>
      <w:r w:rsidR="008F3CAB" w:rsidRPr="00E032F3">
        <w:rPr>
          <w:rFonts w:ascii="Times New Roman" w:eastAsia="MS Gothic" w:hAnsi="Times New Roman"/>
          <w:sz w:val="20"/>
          <w:szCs w:val="20"/>
        </w:rPr>
        <w:t>т</w:t>
      </w:r>
      <w:r w:rsidRPr="00E032F3">
        <w:rPr>
          <w:rFonts w:ascii="Times New Roman" w:eastAsia="MS Gothic" w:hAnsi="Times New Roman"/>
          <w:sz w:val="20"/>
          <w:szCs w:val="20"/>
        </w:rPr>
        <w:t>рейдинга</w:t>
      </w:r>
    </w:p>
    <w:p w14:paraId="1EE4B44F" w14:textId="3B5D34BC" w:rsidR="0014531C" w:rsidRPr="00D068FC" w:rsidRDefault="0014531C" w:rsidP="0014531C">
      <w:pPr>
        <w:tabs>
          <w:tab w:val="left" w:pos="709"/>
        </w:tabs>
        <w:ind w:left="360"/>
        <w:jc w:val="both"/>
        <w:rPr>
          <w:rFonts w:ascii="Times New Roman" w:eastAsia="MS Gothic" w:hAnsi="Times New Roman"/>
          <w:sz w:val="16"/>
          <w:szCs w:val="16"/>
        </w:rPr>
      </w:pPr>
      <w:r w:rsidRPr="00D068FC">
        <w:rPr>
          <w:rFonts w:ascii="Times New Roman" w:eastAsia="MS Gothic" w:hAnsi="Times New Roman"/>
          <w:sz w:val="16"/>
          <w:szCs w:val="16"/>
        </w:rPr>
        <w:t xml:space="preserve">(заполняется юридическими лицами, а также физическими лицами, намеревающимися использовать </w:t>
      </w:r>
      <w:r w:rsidRPr="00D068FC">
        <w:rPr>
          <w:rFonts w:ascii="Times New Roman" w:eastAsia="MS Gothic" w:hAnsi="Times New Roman"/>
          <w:sz w:val="16"/>
          <w:szCs w:val="16"/>
          <w:lang w:val="en-US"/>
        </w:rPr>
        <w:t>QUIK</w:t>
      </w:r>
      <w:r w:rsidRPr="00D068FC">
        <w:rPr>
          <w:rFonts w:ascii="Times New Roman" w:eastAsia="MS Gothic" w:hAnsi="Times New Roman"/>
          <w:sz w:val="16"/>
          <w:szCs w:val="16"/>
        </w:rPr>
        <w:t xml:space="preserve"> через св</w:t>
      </w:r>
      <w:r w:rsidR="00555691" w:rsidRPr="00D068FC">
        <w:rPr>
          <w:rFonts w:ascii="Times New Roman" w:eastAsia="MS Gothic" w:hAnsi="Times New Roman"/>
          <w:sz w:val="16"/>
          <w:szCs w:val="16"/>
        </w:rPr>
        <w:t>о</w:t>
      </w:r>
      <w:r w:rsidRPr="00D068FC">
        <w:rPr>
          <w:rFonts w:ascii="Times New Roman" w:eastAsia="MS Gothic" w:hAnsi="Times New Roman"/>
          <w:sz w:val="16"/>
          <w:szCs w:val="16"/>
        </w:rPr>
        <w:t>их уполномоченных представителей).</w:t>
      </w:r>
    </w:p>
    <w:tbl>
      <w:tblPr>
        <w:tblStyle w:val="af6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E2AA2" w:rsidRPr="005B5089" w14:paraId="2DAC62FE" w14:textId="77777777" w:rsidTr="00E762AB">
        <w:tc>
          <w:tcPr>
            <w:tcW w:w="9498" w:type="dxa"/>
          </w:tcPr>
          <w:p w14:paraId="63D00DC4" w14:textId="08084C7E" w:rsidR="008E2AA2" w:rsidRPr="00D068FC" w:rsidRDefault="00652535" w:rsidP="00E762AB">
            <w:pPr>
              <w:pStyle w:val="a4"/>
              <w:tabs>
                <w:tab w:val="left" w:pos="709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-158745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625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4625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8E2AA2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прошу </w:t>
            </w:r>
            <w:sdt>
              <w:sdtPr>
                <w:rPr>
                  <w:rFonts w:ascii="Times New Roman" w:eastAsia="MS Gothic" w:hAnsi="Times New Roman"/>
                  <w:b/>
                  <w:color w:val="FF0000"/>
                  <w:sz w:val="16"/>
                  <w:szCs w:val="16"/>
                </w:rPr>
                <w:id w:val="-1555853169"/>
                <w:placeholder>
                  <w:docPart w:val="DefaultPlaceholder_1081868575"/>
                </w:placeholder>
                <w:comboBox>
                  <w:listItem w:displayText="выберите вариант" w:value="выберите вариант"/>
                  <w:listItem w:displayText="зарегистрировать" w:value="зарегистрировать"/>
                  <w:listItem w:displayText="отменить регистрацию" w:value="отменить регистрацию"/>
                </w:comboBox>
              </w:sdtPr>
              <w:sdtEndPr/>
              <w:sdtContent>
                <w:r w:rsidR="007E73C5" w:rsidRPr="00D068FC">
                  <w:rPr>
                    <w:rFonts w:ascii="Times New Roman" w:eastAsia="MS Gothic" w:hAnsi="Times New Roman"/>
                    <w:b/>
                    <w:color w:val="FF0000"/>
                    <w:sz w:val="16"/>
                    <w:szCs w:val="16"/>
                  </w:rPr>
                  <w:t>выберите вариант</w:t>
                </w:r>
              </w:sdtContent>
            </w:sdt>
            <w:r w:rsidR="00D844E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8E2AA2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указанных ниже физических лиц в качестве уполномоченных представителей, имеющих право использовать 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</w:rPr>
              <w:t>программное обеспечение Рабочее место</w:t>
            </w:r>
            <w:r w:rsidR="008E2AA2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8E2AA2" w:rsidRPr="00D068FC">
              <w:rPr>
                <w:rFonts w:ascii="Times New Roman" w:eastAsia="MS Gothic" w:hAnsi="Times New Roman"/>
                <w:sz w:val="16"/>
                <w:szCs w:val="16"/>
                <w:lang w:val="en-US"/>
              </w:rPr>
              <w:t>QUIK</w:t>
            </w:r>
            <w:r w:rsidR="008E2AA2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770E18" w:rsidRPr="00D068FC">
              <w:rPr>
                <w:rFonts w:ascii="Times New Roman" w:eastAsia="MS Gothic" w:hAnsi="Times New Roman"/>
                <w:sz w:val="16"/>
                <w:szCs w:val="16"/>
              </w:rPr>
              <w:t>в соответствии с указанным видом учетной записи:</w:t>
            </w:r>
          </w:p>
          <w:p w14:paraId="3FAD13FC" w14:textId="77777777" w:rsidR="008E2AA2" w:rsidRPr="00D068FC" w:rsidRDefault="008E2AA2" w:rsidP="00E762AB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5980"/>
              <w:gridCol w:w="2835"/>
            </w:tblGrid>
            <w:tr w:rsidR="00D71EB3" w:rsidRPr="005B5089" w14:paraId="1A363576" w14:textId="77777777" w:rsidTr="00D71EB3">
              <w:tc>
                <w:tcPr>
                  <w:tcW w:w="426" w:type="dxa"/>
                  <w:vAlign w:val="center"/>
                </w:tcPr>
                <w:p w14:paraId="6DE48715" w14:textId="77777777" w:rsidR="00D71EB3" w:rsidRPr="00D068FC" w:rsidRDefault="00D71EB3" w:rsidP="00E762AB">
                  <w:pPr>
                    <w:pStyle w:val="a4"/>
                    <w:spacing w:after="0"/>
                    <w:ind w:left="0"/>
                    <w:rPr>
                      <w:rFonts w:ascii="Times New Roman" w:eastAsia="MS Gothic" w:hAnsi="Times New Roman"/>
                      <w:sz w:val="16"/>
                      <w:szCs w:val="16"/>
                    </w:rPr>
                  </w:pPr>
                  <w:r w:rsidRPr="00D068FC">
                    <w:rPr>
                      <w:rFonts w:ascii="Times New Roman" w:eastAsia="MS Gothic" w:hAnsi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980" w:type="dxa"/>
                  <w:vAlign w:val="center"/>
                </w:tcPr>
                <w:p w14:paraId="731F16FA" w14:textId="77777777" w:rsidR="00D71EB3" w:rsidRPr="00D068FC" w:rsidRDefault="00D71EB3" w:rsidP="00E762AB">
                  <w:pPr>
                    <w:pStyle w:val="a4"/>
                    <w:spacing w:after="0"/>
                    <w:ind w:left="0"/>
                    <w:jc w:val="center"/>
                    <w:rPr>
                      <w:rFonts w:ascii="Times New Roman" w:eastAsia="MS Gothic" w:hAnsi="Times New Roman"/>
                      <w:sz w:val="16"/>
                      <w:szCs w:val="16"/>
                    </w:rPr>
                  </w:pPr>
                  <w:r w:rsidRPr="00D068FC">
                    <w:rPr>
                      <w:rFonts w:ascii="Times New Roman" w:eastAsia="MS Gothic" w:hAnsi="Times New Roman"/>
                      <w:sz w:val="16"/>
                      <w:szCs w:val="16"/>
                    </w:rPr>
                    <w:t>Фамилия, имя, отчество</w:t>
                  </w:r>
                </w:p>
              </w:tc>
              <w:tc>
                <w:tcPr>
                  <w:tcW w:w="2835" w:type="dxa"/>
                </w:tcPr>
                <w:p w14:paraId="3B6B30A6" w14:textId="77777777" w:rsidR="00D71EB3" w:rsidRPr="00D068FC" w:rsidRDefault="00D71EB3" w:rsidP="00E762AB">
                  <w:pPr>
                    <w:pStyle w:val="a4"/>
                    <w:spacing w:after="0"/>
                    <w:ind w:left="0"/>
                    <w:jc w:val="center"/>
                    <w:rPr>
                      <w:rFonts w:ascii="Times New Roman" w:eastAsia="MS Gothic" w:hAnsi="Times New Roman"/>
                      <w:sz w:val="16"/>
                      <w:szCs w:val="16"/>
                    </w:rPr>
                  </w:pPr>
                  <w:r w:rsidRPr="00D068FC">
                    <w:rPr>
                      <w:rFonts w:ascii="Times New Roman" w:eastAsia="MS Gothic" w:hAnsi="Times New Roman"/>
                      <w:sz w:val="16"/>
                      <w:szCs w:val="16"/>
                    </w:rPr>
                    <w:t>Вид учетной записи</w:t>
                  </w:r>
                </w:p>
              </w:tc>
            </w:tr>
            <w:tr w:rsidR="00D71EB3" w:rsidRPr="005B5089" w14:paraId="26EB9C22" w14:textId="77777777" w:rsidTr="00D71EB3">
              <w:trPr>
                <w:trHeight w:val="227"/>
              </w:trPr>
              <w:tc>
                <w:tcPr>
                  <w:tcW w:w="426" w:type="dxa"/>
                  <w:vAlign w:val="center"/>
                </w:tcPr>
                <w:p w14:paraId="2CADAB96" w14:textId="77777777" w:rsidR="00D71EB3" w:rsidRPr="00D068FC" w:rsidRDefault="00D71EB3" w:rsidP="00E762AB">
                  <w:pPr>
                    <w:pStyle w:val="a4"/>
                    <w:spacing w:after="0"/>
                    <w:ind w:left="0"/>
                    <w:rPr>
                      <w:rFonts w:ascii="Times New Roman" w:eastAsia="MS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80" w:type="dxa"/>
                  <w:vAlign w:val="center"/>
                </w:tcPr>
                <w:p w14:paraId="1D9C6A6B" w14:textId="77777777" w:rsidR="00D71EB3" w:rsidRPr="00D068FC" w:rsidRDefault="00D71EB3" w:rsidP="00E762AB">
                  <w:pPr>
                    <w:pStyle w:val="a4"/>
                    <w:spacing w:after="0"/>
                    <w:ind w:left="0"/>
                    <w:rPr>
                      <w:rFonts w:ascii="Times New Roman" w:eastAsia="MS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0980A2A0" w14:textId="088A9EF0" w:rsidR="00D71EB3" w:rsidRPr="00D068FC" w:rsidRDefault="00652535" w:rsidP="00E762AB">
                  <w:pPr>
                    <w:pStyle w:val="a4"/>
                    <w:spacing w:after="0"/>
                    <w:ind w:left="0"/>
                    <w:rPr>
                      <w:rFonts w:ascii="Times New Roman" w:eastAsia="MS Gothic" w:hAnsi="Times New Roman"/>
                      <w:color w:val="FF000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b/>
                        <w:color w:val="FF0000"/>
                        <w:sz w:val="16"/>
                        <w:szCs w:val="16"/>
                      </w:rPr>
                      <w:id w:val="1058131015"/>
                      <w:placeholder>
                        <w:docPart w:val="A83989CA783344338E3099A3D9DD63B7"/>
                      </w:placeholder>
                      <w:comboBox>
                        <w:listItem w:displayText="-" w:value="-"/>
                        <w:listItem w:displayText="с правом подачи любых поручений, предусмотренных ПО QUIK" w:value="с правом подачи любых поручений, предусмотренных ПО QUIK"/>
                        <w:listItem w:displayText="просмотровый режим (без права подачи поручений)" w:value="просмотровый режим (без права подачи поручений)"/>
                      </w:comboBox>
                    </w:sdtPr>
                    <w:sdtEndPr/>
                    <w:sdtContent>
                      <w:r w:rsidR="00D71EB3" w:rsidRPr="00D068FC">
                        <w:rPr>
                          <w:rFonts w:ascii="Times New Roman" w:eastAsia="MS Gothic" w:hAnsi="Times New Roman"/>
                          <w:b/>
                          <w:color w:val="FF0000"/>
                          <w:sz w:val="16"/>
                          <w:szCs w:val="16"/>
                        </w:rPr>
                        <w:t>-</w:t>
                      </w:r>
                    </w:sdtContent>
                  </w:sdt>
                </w:p>
              </w:tc>
            </w:tr>
            <w:tr w:rsidR="00D71EB3" w:rsidRPr="005B5089" w14:paraId="1F22F2AF" w14:textId="77777777" w:rsidTr="00D71EB3">
              <w:tc>
                <w:tcPr>
                  <w:tcW w:w="426" w:type="dxa"/>
                  <w:vAlign w:val="center"/>
                </w:tcPr>
                <w:p w14:paraId="37D18D2F" w14:textId="77777777" w:rsidR="00D71EB3" w:rsidRPr="00D068FC" w:rsidRDefault="00D71EB3" w:rsidP="00E762AB">
                  <w:pPr>
                    <w:pStyle w:val="a4"/>
                    <w:spacing w:after="0"/>
                    <w:ind w:left="0"/>
                    <w:rPr>
                      <w:rFonts w:ascii="Times New Roman" w:eastAsia="MS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80" w:type="dxa"/>
                  <w:vAlign w:val="center"/>
                </w:tcPr>
                <w:p w14:paraId="7D220CD4" w14:textId="77777777" w:rsidR="00D71EB3" w:rsidRPr="00D068FC" w:rsidRDefault="00D71EB3" w:rsidP="00E762AB">
                  <w:pPr>
                    <w:pStyle w:val="a4"/>
                    <w:spacing w:after="0"/>
                    <w:ind w:left="0"/>
                    <w:rPr>
                      <w:rFonts w:ascii="Times New Roman" w:eastAsia="MS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72937CAD" w14:textId="2FC649A3" w:rsidR="00D71EB3" w:rsidRPr="00D068FC" w:rsidRDefault="00652535" w:rsidP="00E762AB">
                  <w:pPr>
                    <w:pStyle w:val="a4"/>
                    <w:spacing w:after="0"/>
                    <w:ind w:left="0"/>
                    <w:rPr>
                      <w:rFonts w:ascii="Times New Roman" w:eastAsia="MS Gothic" w:hAnsi="Times New Roman"/>
                      <w:color w:val="FF0000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b/>
                        <w:color w:val="FF0000"/>
                        <w:sz w:val="16"/>
                        <w:szCs w:val="16"/>
                      </w:rPr>
                      <w:id w:val="1923986622"/>
                      <w:placeholder>
                        <w:docPart w:val="2A9B67DFDF7242DEB4456FF8A5D93501"/>
                      </w:placeholder>
                      <w:comboBox>
                        <w:listItem w:displayText="-" w:value="-"/>
                        <w:listItem w:displayText="с правом подачи любых поручений, предусмотренных ПО QUIK" w:value="с правом подачи любых поручений, предусмотренных ПО QUIK"/>
                        <w:listItem w:displayText="просмотровый режим (без права подачи поручений)" w:value="просмотровый режим (без права подачи поручений)"/>
                      </w:comboBox>
                    </w:sdtPr>
                    <w:sdtEndPr/>
                    <w:sdtContent>
                      <w:r w:rsidR="00D71EB3" w:rsidRPr="00D068FC">
                        <w:rPr>
                          <w:rFonts w:ascii="Times New Roman" w:eastAsia="MS Gothic" w:hAnsi="Times New Roman"/>
                          <w:b/>
                          <w:color w:val="FF0000"/>
                          <w:sz w:val="16"/>
                          <w:szCs w:val="16"/>
                        </w:rPr>
                        <w:t>-</w:t>
                      </w:r>
                    </w:sdtContent>
                  </w:sdt>
                </w:p>
              </w:tc>
            </w:tr>
            <w:tr w:rsidR="00D71EB3" w:rsidRPr="005B5089" w14:paraId="76C589BA" w14:textId="77777777" w:rsidTr="00D71EB3">
              <w:tc>
                <w:tcPr>
                  <w:tcW w:w="426" w:type="dxa"/>
                  <w:vAlign w:val="center"/>
                </w:tcPr>
                <w:p w14:paraId="1AC4E48A" w14:textId="77777777" w:rsidR="00D71EB3" w:rsidRPr="00D068FC" w:rsidRDefault="00D71EB3" w:rsidP="00E762AB">
                  <w:pPr>
                    <w:pStyle w:val="a4"/>
                    <w:spacing w:after="0"/>
                    <w:ind w:left="0"/>
                    <w:rPr>
                      <w:rFonts w:ascii="Times New Roman" w:eastAsia="MS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80" w:type="dxa"/>
                  <w:vAlign w:val="center"/>
                </w:tcPr>
                <w:p w14:paraId="0E80481F" w14:textId="77777777" w:rsidR="00D71EB3" w:rsidRPr="00D068FC" w:rsidRDefault="00D71EB3" w:rsidP="00E762AB">
                  <w:pPr>
                    <w:pStyle w:val="a4"/>
                    <w:spacing w:after="0"/>
                    <w:ind w:left="0"/>
                    <w:rPr>
                      <w:rFonts w:ascii="Times New Roman" w:eastAsia="MS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5166FB5A" w14:textId="2D265EC5" w:rsidR="00D71EB3" w:rsidRPr="00D068FC" w:rsidRDefault="00652535" w:rsidP="00E762AB">
                  <w:pPr>
                    <w:pStyle w:val="a4"/>
                    <w:spacing w:after="0"/>
                    <w:ind w:left="0"/>
                    <w:rPr>
                      <w:rFonts w:ascii="Times New Roman" w:eastAsia="MS Gothic" w:hAnsi="Times New Roman"/>
                      <w:color w:val="FF0000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b/>
                        <w:color w:val="FF0000"/>
                        <w:sz w:val="16"/>
                        <w:szCs w:val="16"/>
                      </w:rPr>
                      <w:id w:val="1852602510"/>
                      <w:placeholder>
                        <w:docPart w:val="B72C04A909D14534AF9CFE4F91421874"/>
                      </w:placeholder>
                      <w:comboBox>
                        <w:listItem w:displayText="-" w:value="-"/>
                        <w:listItem w:displayText="с правом подачи любых поручений, предусмотренных ПО QUIK" w:value="с правом подачи любых поручений, предусмотренных ПО QUIK"/>
                        <w:listItem w:displayText="просмотровый режим (без права подачи поручений)" w:value="просмотровый режим (без права подачи поручений)"/>
                      </w:comboBox>
                    </w:sdtPr>
                    <w:sdtEndPr/>
                    <w:sdtContent>
                      <w:r w:rsidR="00D71EB3" w:rsidRPr="00D068FC">
                        <w:rPr>
                          <w:rFonts w:ascii="Times New Roman" w:eastAsia="MS Gothic" w:hAnsi="Times New Roman"/>
                          <w:b/>
                          <w:color w:val="FF0000"/>
                          <w:sz w:val="16"/>
                          <w:szCs w:val="16"/>
                        </w:rPr>
                        <w:t>-</w:t>
                      </w:r>
                    </w:sdtContent>
                  </w:sdt>
                </w:p>
              </w:tc>
            </w:tr>
          </w:tbl>
          <w:p w14:paraId="6588E14C" w14:textId="3D73AA43" w:rsidR="00D844E3" w:rsidRPr="00D068FC" w:rsidRDefault="00D844E3" w:rsidP="00D844E3">
            <w:pPr>
              <w:pStyle w:val="a4"/>
              <w:numPr>
                <w:ilvl w:val="0"/>
                <w:numId w:val="13"/>
              </w:numPr>
              <w:tabs>
                <w:tab w:val="left" w:pos="709"/>
              </w:tabs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Объем полномочий определяется уставом либо доверенностью, при этом вид учетной записи «просмотровый режим (без права подачи поручений)» исключает возможность подачи каких-либо поручений через 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</w:rPr>
              <w:t>программное обеспечение Рабочее место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Pr="00D068FC">
              <w:rPr>
                <w:rFonts w:ascii="Times New Roman" w:eastAsia="MS Gothic" w:hAnsi="Times New Roman"/>
                <w:sz w:val="16"/>
                <w:szCs w:val="16"/>
                <w:lang w:val="en-US"/>
              </w:rPr>
              <w:t>QUIK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вне зависимости от наличия соответствующих полномочий в представленных документах.</w:t>
            </w:r>
          </w:p>
          <w:p w14:paraId="581EB477" w14:textId="5F48C5F7" w:rsidR="008E2AA2" w:rsidRPr="00D068FC" w:rsidRDefault="008E2AA2" w:rsidP="008E2AA2">
            <w:pPr>
              <w:pStyle w:val="a4"/>
              <w:numPr>
                <w:ilvl w:val="0"/>
                <w:numId w:val="13"/>
              </w:numPr>
              <w:tabs>
                <w:tab w:val="left" w:pos="709"/>
              </w:tabs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На каждого из указанных в настоящем пункте физических лиц должна быть представлена (1) анкета физического лица, подписанная самим физическим лицом</w:t>
            </w:r>
            <w:r w:rsidR="00963B5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963B5C" w:rsidRPr="00963B5C">
              <w:rPr>
                <w:rFonts w:ascii="Times New Roman" w:eastAsia="MS Gothic" w:hAnsi="Times New Roman"/>
                <w:sz w:val="16"/>
                <w:szCs w:val="16"/>
              </w:rPr>
              <w:t>или уполномоченным представителем юридического лица с печатью юридического лица (при наличии)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, и (2) копия основного документа, удостоверяющего его личность.</w:t>
            </w:r>
          </w:p>
          <w:p w14:paraId="2CFE2A60" w14:textId="292B95C7" w:rsidR="008E2AA2" w:rsidRPr="00D068FC" w:rsidRDefault="008E2AA2" w:rsidP="008E2AA2">
            <w:pPr>
              <w:pStyle w:val="a4"/>
              <w:numPr>
                <w:ilvl w:val="0"/>
                <w:numId w:val="13"/>
              </w:numPr>
              <w:tabs>
                <w:tab w:val="left" w:pos="709"/>
              </w:tabs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Клиенты – физические лица вправе указать представителей при условии, что между представителем и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Акционерным обществом «Инвестиционная компания «Горизонт»</w:t>
            </w:r>
            <w:r w:rsidR="00BC0DC8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заключен договор о брокерском обслуживании.</w:t>
            </w:r>
          </w:p>
        </w:tc>
      </w:tr>
    </w:tbl>
    <w:p w14:paraId="682C6AA4" w14:textId="77777777" w:rsidR="00C75CC7" w:rsidRPr="00D068FC" w:rsidRDefault="00C75CC7" w:rsidP="00E032F3">
      <w:pPr>
        <w:pStyle w:val="a4"/>
        <w:tabs>
          <w:tab w:val="left" w:pos="851"/>
        </w:tabs>
        <w:ind w:left="709"/>
        <w:jc w:val="both"/>
        <w:rPr>
          <w:rFonts w:ascii="Times New Roman" w:eastAsia="MS Gothic" w:hAnsi="Times New Roman"/>
          <w:sz w:val="20"/>
          <w:szCs w:val="20"/>
        </w:rPr>
      </w:pPr>
    </w:p>
    <w:p w14:paraId="15FA570D" w14:textId="77777777" w:rsidR="00911D04" w:rsidRPr="00D068FC" w:rsidRDefault="00911D04" w:rsidP="00E032F3">
      <w:pPr>
        <w:pStyle w:val="a4"/>
        <w:numPr>
          <w:ilvl w:val="1"/>
          <w:numId w:val="23"/>
        </w:numPr>
        <w:tabs>
          <w:tab w:val="left" w:pos="851"/>
        </w:tabs>
        <w:ind w:left="709"/>
        <w:jc w:val="both"/>
        <w:rPr>
          <w:rFonts w:ascii="Times New Roman" w:eastAsia="MS Gothic" w:hAnsi="Times New Roman"/>
          <w:sz w:val="20"/>
          <w:szCs w:val="20"/>
        </w:rPr>
      </w:pPr>
      <w:r w:rsidRPr="00D068FC">
        <w:rPr>
          <w:rFonts w:ascii="Times New Roman" w:eastAsia="MS Gothic" w:hAnsi="Times New Roman"/>
          <w:sz w:val="20"/>
          <w:szCs w:val="20"/>
        </w:rPr>
        <w:t>Заявление о создании учетной записи рабочего места QUIK</w:t>
      </w:r>
    </w:p>
    <w:p w14:paraId="3FEA5AAD" w14:textId="7D2F9040" w:rsidR="00911D04" w:rsidRPr="00D068FC" w:rsidRDefault="00911D04" w:rsidP="004F7165">
      <w:pPr>
        <w:tabs>
          <w:tab w:val="left" w:pos="709"/>
        </w:tabs>
        <w:ind w:left="426"/>
        <w:jc w:val="both"/>
        <w:rPr>
          <w:rFonts w:ascii="Times New Roman" w:eastAsia="MS Gothic" w:hAnsi="Times New Roman"/>
          <w:sz w:val="16"/>
          <w:szCs w:val="16"/>
        </w:rPr>
      </w:pPr>
      <w:r w:rsidRPr="00D068FC">
        <w:rPr>
          <w:rFonts w:ascii="Times New Roman" w:eastAsia="MS Gothic" w:hAnsi="Times New Roman"/>
          <w:sz w:val="16"/>
          <w:szCs w:val="16"/>
        </w:rPr>
        <w:t xml:space="preserve">(заполняется физическими лицами, намеревающимися использовать </w:t>
      </w:r>
      <w:r w:rsidR="00D71EB3" w:rsidRPr="00D068FC">
        <w:rPr>
          <w:rFonts w:ascii="Times New Roman" w:eastAsia="MS Gothic" w:hAnsi="Times New Roman"/>
          <w:sz w:val="16"/>
          <w:szCs w:val="16"/>
        </w:rPr>
        <w:t>программное обеспечение Рабочее место</w:t>
      </w:r>
      <w:r w:rsidRPr="00D068FC">
        <w:rPr>
          <w:rFonts w:ascii="Times New Roman" w:eastAsia="MS Gothic" w:hAnsi="Times New Roman"/>
          <w:sz w:val="16"/>
          <w:szCs w:val="16"/>
        </w:rPr>
        <w:t xml:space="preserve"> </w:t>
      </w:r>
      <w:r w:rsidRPr="00D068FC">
        <w:rPr>
          <w:rFonts w:ascii="Times New Roman" w:eastAsia="MS Gothic" w:hAnsi="Times New Roman"/>
          <w:sz w:val="16"/>
          <w:szCs w:val="16"/>
          <w:lang w:val="en-US"/>
        </w:rPr>
        <w:t>QUIK</w:t>
      </w:r>
      <w:r w:rsidRPr="00D068FC">
        <w:rPr>
          <w:rFonts w:ascii="Times New Roman" w:eastAsia="MS Gothic" w:hAnsi="Times New Roman"/>
          <w:sz w:val="16"/>
          <w:szCs w:val="16"/>
        </w:rPr>
        <w:t>)</w:t>
      </w:r>
    </w:p>
    <w:tbl>
      <w:tblPr>
        <w:tblStyle w:val="af6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11D04" w:rsidRPr="005B5089" w14:paraId="644D17CB" w14:textId="77777777" w:rsidTr="00E762AB">
        <w:tc>
          <w:tcPr>
            <w:tcW w:w="9498" w:type="dxa"/>
          </w:tcPr>
          <w:p w14:paraId="1CA5673B" w14:textId="2FEB8119" w:rsidR="00911D04" w:rsidRPr="00D068FC" w:rsidRDefault="00652535" w:rsidP="00E762AB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eastAsia="MS Gothic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-137977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625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4625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911D04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Прошу создать учетную запись для работы в Системе </w:t>
            </w:r>
            <w:r w:rsidR="008F3CAB" w:rsidRPr="00D068FC">
              <w:rPr>
                <w:rFonts w:ascii="Times New Roman" w:eastAsia="MS Gothic" w:hAnsi="Times New Roman"/>
                <w:sz w:val="16"/>
                <w:szCs w:val="16"/>
              </w:rPr>
              <w:t>и</w:t>
            </w:r>
            <w:r w:rsidR="00911D04" w:rsidRPr="00D068FC">
              <w:rPr>
                <w:rFonts w:ascii="Times New Roman" w:eastAsia="MS Gothic" w:hAnsi="Times New Roman"/>
                <w:sz w:val="16"/>
                <w:szCs w:val="16"/>
              </w:rPr>
              <w:t>нтернет-</w:t>
            </w:r>
            <w:r w:rsidR="008F3CAB" w:rsidRPr="00D068FC">
              <w:rPr>
                <w:rFonts w:ascii="Times New Roman" w:eastAsia="MS Gothic" w:hAnsi="Times New Roman"/>
                <w:sz w:val="16"/>
                <w:szCs w:val="16"/>
              </w:rPr>
              <w:t>т</w:t>
            </w:r>
            <w:r w:rsidR="00911D04" w:rsidRPr="00D068FC">
              <w:rPr>
                <w:rFonts w:ascii="Times New Roman" w:eastAsia="MS Gothic" w:hAnsi="Times New Roman"/>
                <w:sz w:val="16"/>
                <w:szCs w:val="16"/>
              </w:rPr>
              <w:t>рейдинга через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программное обеспечение Рабочее место 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  <w:lang w:val="en-US"/>
              </w:rPr>
              <w:t>QUIK</w:t>
            </w:r>
            <w:r w:rsidR="00911D04"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1B13DE8A" w14:textId="55D1E1EB" w:rsidR="00911D04" w:rsidRPr="00D068FC" w:rsidRDefault="00911D04" w:rsidP="00911D04">
            <w:pPr>
              <w:pStyle w:val="a4"/>
              <w:autoSpaceDE w:val="0"/>
              <w:autoSpaceDN w:val="0"/>
              <w:adjustRightInd w:val="0"/>
              <w:spacing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Подписанием настоящего Заявления обязуюсь обеспечивать конфиденциальность ключа простой электронной подписи, используемой в работе 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программного обеспечения Рабочее место 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  <w:lang w:val="en-US"/>
              </w:rPr>
              <w:t>QUIK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QUIK: связка логин (имя пользователя) - пароль и код, отправляемый посредством сервиса коротких сообщений (СМС) на номер мобильного телефона (при его использовании).</w:t>
            </w:r>
          </w:p>
        </w:tc>
      </w:tr>
    </w:tbl>
    <w:p w14:paraId="0B68B17F" w14:textId="174779CC" w:rsidR="00272A68" w:rsidRPr="00D068FC" w:rsidRDefault="00272A68" w:rsidP="00AE1FF4">
      <w:pPr>
        <w:tabs>
          <w:tab w:val="left" w:pos="851"/>
        </w:tabs>
        <w:jc w:val="both"/>
        <w:rPr>
          <w:rFonts w:ascii="Times New Roman" w:eastAsia="MS Gothic" w:hAnsi="Times New Roman"/>
          <w:sz w:val="20"/>
          <w:szCs w:val="20"/>
        </w:rPr>
      </w:pPr>
    </w:p>
    <w:p w14:paraId="04415434" w14:textId="5DDC82BF" w:rsidR="00D03A88" w:rsidRPr="00D068FC" w:rsidRDefault="00D03A88" w:rsidP="005277C8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  <w:r w:rsidRPr="00D068FC">
        <w:rPr>
          <w:rFonts w:ascii="Times New Roman" w:eastAsia="MS Gothic" w:hAnsi="Times New Roman"/>
          <w:sz w:val="20"/>
          <w:szCs w:val="20"/>
        </w:rPr>
        <w:t>Предоставление/отказ от предоставления Компании права использования в своих интересах денежных средств и/или ценных бумаг Клиента</w:t>
      </w:r>
      <w:r w:rsidR="002D514A" w:rsidRPr="00D068FC">
        <w:rPr>
          <w:rFonts w:ascii="Times New Roman" w:eastAsia="MS Gothic" w:hAnsi="Times New Roman"/>
          <w:sz w:val="20"/>
          <w:szCs w:val="20"/>
        </w:rPr>
        <w:t xml:space="preserve">. </w:t>
      </w:r>
      <w:r w:rsidR="001C4AC9">
        <w:rPr>
          <w:rFonts w:ascii="Times New Roman" w:eastAsia="MS Gothic" w:hAnsi="Times New Roman"/>
          <w:sz w:val="20"/>
          <w:szCs w:val="20"/>
        </w:rPr>
        <w:t>Декларация</w:t>
      </w:r>
      <w:r w:rsidR="001C4AC9" w:rsidRPr="00D068FC">
        <w:rPr>
          <w:rFonts w:ascii="Times New Roman" w:eastAsia="MS Gothic" w:hAnsi="Times New Roman"/>
          <w:sz w:val="20"/>
          <w:szCs w:val="20"/>
        </w:rPr>
        <w:t xml:space="preserve"> </w:t>
      </w:r>
      <w:r w:rsidR="002D514A" w:rsidRPr="00D068FC">
        <w:rPr>
          <w:rFonts w:ascii="Times New Roman" w:eastAsia="MS Gothic" w:hAnsi="Times New Roman"/>
          <w:sz w:val="20"/>
          <w:szCs w:val="20"/>
        </w:rPr>
        <w:t>о рисках использования брокером в своих интересах денежных средств и/или ценных бумаг клиента</w:t>
      </w:r>
    </w:p>
    <w:p w14:paraId="6F20537A" w14:textId="77777777" w:rsidR="00D03A88" w:rsidRPr="00D068FC" w:rsidRDefault="00D03A88" w:rsidP="00F73E18">
      <w:pPr>
        <w:pStyle w:val="a4"/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</w:p>
    <w:tbl>
      <w:tblPr>
        <w:tblStyle w:val="af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03A88" w:rsidRPr="005B5089" w14:paraId="713196B7" w14:textId="77777777" w:rsidTr="00F73E18">
        <w:tc>
          <w:tcPr>
            <w:tcW w:w="9493" w:type="dxa"/>
          </w:tcPr>
          <w:p w14:paraId="5067574F" w14:textId="6C7993F3" w:rsidR="00D03A88" w:rsidRPr="00D068FC" w:rsidRDefault="00D03A88" w:rsidP="00F73E18">
            <w:pPr>
              <w:pStyle w:val="a4"/>
              <w:tabs>
                <w:tab w:val="left" w:pos="113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MS Gothic" w:hAnsi="Times New Roman"/>
                <w:i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Отказ от предоставления Компании права использования в своих интересах денежных средств и/или ценных бумаг Клиента</w:t>
            </w:r>
          </w:p>
          <w:p w14:paraId="0F2DB3F6" w14:textId="77777777" w:rsidR="00627307" w:rsidRPr="00D068FC" w:rsidRDefault="00627307" w:rsidP="00F73E18">
            <w:pPr>
              <w:pStyle w:val="a4"/>
              <w:tabs>
                <w:tab w:val="left" w:pos="113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p w14:paraId="2F518CEB" w14:textId="77777777" w:rsidR="00310DB4" w:rsidRPr="00D068FC" w:rsidRDefault="00652535" w:rsidP="00F73E18">
            <w:pPr>
              <w:pStyle w:val="a4"/>
              <w:tabs>
                <w:tab w:val="left" w:pos="113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-276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88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3A8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Настоящим выражаю свой отказ от предоставления Компании права использования в своих интересах денежных средств Клиента</w:t>
            </w:r>
            <w:r w:rsidR="00310DB4"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60CA0AF4" w14:textId="13F861C0" w:rsidR="00D03A88" w:rsidRPr="00D068FC" w:rsidRDefault="00310DB4" w:rsidP="00F73E18">
            <w:pPr>
              <w:pStyle w:val="a4"/>
              <w:tabs>
                <w:tab w:val="left" w:pos="113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MS Gothic" w:hAnsi="Times New Roman"/>
                <w:i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В случае, если на дату отказа от предоставления Компании права использования в своих интересах денежных средств Клиента, Компания обладает правом использования в своих интересах ценных бумаг Клиента, отк</w:t>
            </w:r>
            <w:r w:rsidR="00BF35E7"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аз</w:t>
            </w: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 xml:space="preserve"> от предоставления Компании права использования в своих интересах денежных средств Клиента </w:t>
            </w:r>
            <w:r w:rsidR="00BF35E7"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является отказом Клиента</w:t>
            </w: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 xml:space="preserve"> от предоставления Компании права использования в своих интер</w:t>
            </w:r>
            <w:r w:rsidR="00BF35E7"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есах ценных бумаг Клиента</w:t>
            </w: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 xml:space="preserve">. </w:t>
            </w:r>
            <w:r w:rsidR="00BF35E7"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В этом случае отказ Клиента от предоставления Компании права использования в своих интересах ценных бумаг Клиента считается заявленным вне зависимости от наличия отдельной отметки об отказе от предоставления Компании права использования в своих интересах ценных бумаг Клиента</w:t>
            </w:r>
            <w:r w:rsidR="007F05E4"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 xml:space="preserve"> ниже</w:t>
            </w:r>
            <w:r w:rsidR="00BF35E7"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.</w:t>
            </w:r>
          </w:p>
          <w:p w14:paraId="70AD1286" w14:textId="6EE46C76" w:rsidR="00D03A88" w:rsidRPr="00D068FC" w:rsidRDefault="00652535" w:rsidP="00F73E18">
            <w:pPr>
              <w:pStyle w:val="a4"/>
              <w:tabs>
                <w:tab w:val="left" w:pos="113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6909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88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3A88" w:rsidRPr="00D068FC" w:rsidDel="00806534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D03A88" w:rsidRPr="00D068FC">
              <w:rPr>
                <w:rFonts w:ascii="Times New Roman" w:eastAsia="MS Gothic" w:hAnsi="Times New Roman"/>
                <w:sz w:val="16"/>
                <w:szCs w:val="16"/>
              </w:rPr>
              <w:t>Настоящим выражаю свой отказ от предоставления Компании права использования в своих интересах ценных бумаг Клиента</w:t>
            </w:r>
          </w:p>
          <w:p w14:paraId="1A7ED26F" w14:textId="396DEEE8" w:rsidR="00662D15" w:rsidRPr="00D068FC" w:rsidRDefault="00662D15" w:rsidP="00F73E18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Реализуя свое право на отказ от предоставления Компании права использования в своих интересах денежных средств и/или ценных бумаг Клиента, Клиенту следует учитывать, что, если иное не установлено соглашением между Компанией и Клиентом, такой отказ влечет невозможность совершения Клиентом </w:t>
            </w:r>
            <w:r w:rsidR="00B83401"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сделок и договоров, перечисленных в п. 1.5.7 Регламента </w:t>
            </w:r>
            <w:r w:rsidR="00B83401">
              <w:rPr>
                <w:rFonts w:ascii="Times New Roman" w:eastAsia="MS Gothic" w:hAnsi="Times New Roman"/>
                <w:sz w:val="16"/>
                <w:szCs w:val="16"/>
              </w:rPr>
              <w:t>брокерского обслуживания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559DB711" w14:textId="5BEA4478" w:rsidR="00D03A88" w:rsidRDefault="00D03A88" w:rsidP="00F73E18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Ставя отметку об отказе от предоставления Компании права использования в своих интересах денежных сре</w:t>
            </w:r>
            <w:r w:rsidR="00627307" w:rsidRPr="00D068FC">
              <w:rPr>
                <w:rFonts w:ascii="Times New Roman" w:eastAsia="MS Gothic" w:hAnsi="Times New Roman"/>
                <w:sz w:val="16"/>
                <w:szCs w:val="16"/>
              </w:rPr>
              <w:t>дств и/или ценных бумаг Клиента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, Клиент подтверждает, что он ознакомился с последствиями такого отказа</w:t>
            </w:r>
            <w:r w:rsidR="00B83401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2E3CC2A5" w14:textId="42B7370E" w:rsidR="00B83401" w:rsidRPr="00B83401" w:rsidRDefault="00B83401" w:rsidP="00B83401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Направление Клиентом,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рокерское обслуживание которого осуществляется на условиях Единого лимита, Заявления об изменении условий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>рокерского обслуживания с отметкой об отказе от предоставления Компании права использования в своих интересах денежных средств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 и/или ценных бумаг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, является отказом Клиента от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рокерского обслуживания на условиях Единого лимита. В этом случае отказ Клиента от оказания ему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рокерского обслуживания на условиях Единого лимита считается заявленным вне зависимости от наличия отдельной отметки о прекращении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рокерского обслуживания на условиях Единого лимита в Заявлении об изменении условий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>рокерского обслуживания.</w:t>
            </w:r>
          </w:p>
          <w:p w14:paraId="45518C6E" w14:textId="39078542" w:rsidR="00B83401" w:rsidRPr="00D068FC" w:rsidRDefault="00B83401" w:rsidP="00B83401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В случае, если в одном Заявлении об изменении условий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рокерского обслуживания стоит отметка о предоставлении Клиенту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>рокерского обслуживания на условиях Единого лимита и отказ Клиента от предоставления Компании права использования денежных средств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 и/или ценных бумаг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Клиента в своих интересах, Компания не принимает во внимание отметку Клиента о предоставлении ему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рокерского обслуживания на условиях Единого лимита, Брокерское обслуживание Клиента на условиях Единого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лимита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не осуществляется, Компания не использует 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соответственно 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>денежные средства</w:t>
            </w:r>
            <w:r w:rsidR="001C4AC9">
              <w:rPr>
                <w:rFonts w:ascii="Times New Roman" w:eastAsia="MS Gothic" w:hAnsi="Times New Roman"/>
                <w:sz w:val="16"/>
                <w:szCs w:val="16"/>
              </w:rPr>
              <w:t xml:space="preserve"> и/или ценные бумаги</w:t>
            </w:r>
            <w:r w:rsidRPr="00B83401">
              <w:rPr>
                <w:rFonts w:ascii="Times New Roman" w:eastAsia="MS Gothic" w:hAnsi="Times New Roman"/>
                <w:sz w:val="16"/>
                <w:szCs w:val="16"/>
              </w:rPr>
              <w:t xml:space="preserve"> Клиента в своих интересах.</w:t>
            </w:r>
          </w:p>
          <w:p w14:paraId="38A5A9EF" w14:textId="77777777" w:rsidR="00627307" w:rsidRPr="00D068FC" w:rsidRDefault="00627307" w:rsidP="00F73E18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p w14:paraId="6CFBF867" w14:textId="77777777" w:rsidR="00627307" w:rsidRPr="00D068FC" w:rsidRDefault="00627307" w:rsidP="00F73E18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MS Gothic" w:hAnsi="Times New Roman"/>
                <w:i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Предоставление Компании права использования в своих интересах денежных средств и/или ценных бумаг Клиента</w:t>
            </w:r>
          </w:p>
          <w:p w14:paraId="0868C620" w14:textId="0A46511A" w:rsidR="00627307" w:rsidRPr="00D068FC" w:rsidRDefault="00652535" w:rsidP="00627307">
            <w:pPr>
              <w:pStyle w:val="a4"/>
              <w:tabs>
                <w:tab w:val="left" w:pos="113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85423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307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27307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Настоящим предоставляю Компании прав</w:t>
            </w:r>
            <w:r w:rsidR="00BD5A10" w:rsidRPr="00D068FC">
              <w:rPr>
                <w:rFonts w:ascii="Times New Roman" w:eastAsia="MS Gothic" w:hAnsi="Times New Roman"/>
                <w:sz w:val="16"/>
                <w:szCs w:val="16"/>
              </w:rPr>
              <w:t>о</w:t>
            </w:r>
            <w:r w:rsidR="00627307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использования в своих интересах денежных средств Клиента</w:t>
            </w:r>
          </w:p>
          <w:p w14:paraId="36856A54" w14:textId="1402B302" w:rsidR="00627307" w:rsidRPr="00D068FC" w:rsidRDefault="00652535" w:rsidP="00627307">
            <w:pPr>
              <w:pStyle w:val="a4"/>
              <w:tabs>
                <w:tab w:val="left" w:pos="113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2082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307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27307" w:rsidRPr="00D068FC" w:rsidDel="00806534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627307" w:rsidRPr="00D068FC">
              <w:rPr>
                <w:rFonts w:ascii="Times New Roman" w:eastAsia="MS Gothic" w:hAnsi="Times New Roman"/>
                <w:sz w:val="16"/>
                <w:szCs w:val="16"/>
              </w:rPr>
              <w:t>Настоящим предоставляю Компании прав</w:t>
            </w:r>
            <w:r w:rsidR="00BD5A10" w:rsidRPr="00D068FC">
              <w:rPr>
                <w:rFonts w:ascii="Times New Roman" w:eastAsia="MS Gothic" w:hAnsi="Times New Roman"/>
                <w:sz w:val="16"/>
                <w:szCs w:val="16"/>
              </w:rPr>
              <w:t>о</w:t>
            </w:r>
            <w:r w:rsidR="00627307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использования в своих интересах ценных бумаг Клиента</w:t>
            </w:r>
          </w:p>
          <w:p w14:paraId="26481E2F" w14:textId="164A9A9B" w:rsidR="00627307" w:rsidRPr="00D068FC" w:rsidRDefault="00627307" w:rsidP="00627307">
            <w:pPr>
              <w:pStyle w:val="a4"/>
              <w:tabs>
                <w:tab w:val="left" w:pos="1134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Ставя отметку о предоставлении Компании права использования в своих интересах денежных средств и/или ценных бумаг Клиента, Клиент подтверждает, что он</w:t>
            </w:r>
          </w:p>
          <w:p w14:paraId="4719DD76" w14:textId="01B57BEF" w:rsidR="00627307" w:rsidRPr="00D068FC" w:rsidRDefault="00627307" w:rsidP="00F73E18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ознакомлен с </w:t>
            </w:r>
            <w:r w:rsidR="00837838">
              <w:rPr>
                <w:rFonts w:ascii="Times New Roman" w:eastAsia="MS Gothic" w:hAnsi="Times New Roman"/>
                <w:sz w:val="16"/>
                <w:szCs w:val="16"/>
              </w:rPr>
              <w:t>Декларацией</w:t>
            </w:r>
            <w:r w:rsidR="0083783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о рисках использования брокером в своих интересах денеж</w:t>
            </w:r>
            <w:r w:rsidR="00C972AC" w:rsidRPr="00D068FC">
              <w:rPr>
                <w:rFonts w:ascii="Times New Roman" w:eastAsia="MS Gothic" w:hAnsi="Times New Roman"/>
                <w:sz w:val="16"/>
                <w:szCs w:val="16"/>
              </w:rPr>
              <w:t>ных средств и/или ценных бумаг к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лиента, </w:t>
            </w:r>
            <w:r w:rsidR="00837838" w:rsidRPr="00837838">
              <w:rPr>
                <w:rFonts w:ascii="Times New Roman" w:eastAsia="MS Gothic" w:hAnsi="Times New Roman"/>
                <w:sz w:val="16"/>
                <w:szCs w:val="16"/>
              </w:rPr>
              <w:t>с уведомлением о праве направить Компании заявление об отказе от предоставления Компании права использования в своих интересах денежных средств и/или ценных бумаги и о последствиях такого отказа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, с формой и порядком направления такого отказа;</w:t>
            </w:r>
          </w:p>
          <w:p w14:paraId="55C789AF" w14:textId="739FB3C0" w:rsidR="00627307" w:rsidRPr="00D068FC" w:rsidRDefault="00627307" w:rsidP="00F73E18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риски использования Компанией в своих интересах денежных средств и/или ценных бумаг Клиента ему понятны и принимаются им;</w:t>
            </w:r>
          </w:p>
          <w:p w14:paraId="67AC966C" w14:textId="77777777" w:rsidR="00627307" w:rsidRPr="00D068FC" w:rsidRDefault="00627307" w:rsidP="00F73E18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ознакомлен с тем, что </w:t>
            </w:r>
            <w:r w:rsidRPr="00D068FC">
              <w:rPr>
                <w:rFonts w:ascii="Times New Roman" w:hAnsi="Times New Roman"/>
                <w:sz w:val="16"/>
                <w:szCs w:val="16"/>
              </w:rPr>
              <w:t>использование Компанией денежных средств и ценных бумаг осуществляется на безвозмездной основе, в том числе без распределения дохода, полученного от такого использования, в пользу Клиента</w:t>
            </w:r>
          </w:p>
          <w:p w14:paraId="02FD49DE" w14:textId="77777777" w:rsidR="002D514A" w:rsidRPr="00D068FC" w:rsidRDefault="002D514A" w:rsidP="00F73E18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p w14:paraId="4A0770D6" w14:textId="2A602D3B" w:rsidR="002D514A" w:rsidRPr="00D068FC" w:rsidRDefault="00837838" w:rsidP="00D068FC">
            <w:pPr>
              <w:autoSpaceDE w:val="0"/>
              <w:autoSpaceDN w:val="0"/>
              <w:adjustRightInd w:val="0"/>
              <w:spacing w:before="120" w:after="120"/>
              <w:mirrorIndents/>
              <w:jc w:val="both"/>
              <w:rPr>
                <w:rFonts w:ascii="Times New Roman" w:eastAsia="MS Gothic" w:hAnsi="Times New Roman"/>
                <w:b/>
                <w:sz w:val="20"/>
                <w:szCs w:val="20"/>
              </w:rPr>
            </w:pPr>
            <w:r>
              <w:rPr>
                <w:rFonts w:ascii="Times New Roman" w:eastAsia="MS Gothic" w:hAnsi="Times New Roman"/>
                <w:b/>
                <w:sz w:val="20"/>
                <w:szCs w:val="20"/>
              </w:rPr>
              <w:t>Декларация</w:t>
            </w:r>
            <w:r w:rsidRPr="00D068FC">
              <w:rPr>
                <w:rFonts w:ascii="Times New Roman" w:eastAsia="MS Gothic" w:hAnsi="Times New Roman"/>
                <w:b/>
                <w:sz w:val="20"/>
                <w:szCs w:val="20"/>
              </w:rPr>
              <w:t xml:space="preserve"> </w:t>
            </w:r>
            <w:r w:rsidR="002D514A" w:rsidRPr="00D068FC">
              <w:rPr>
                <w:rFonts w:ascii="Times New Roman" w:eastAsia="MS Gothic" w:hAnsi="Times New Roman"/>
                <w:b/>
                <w:sz w:val="20"/>
                <w:szCs w:val="20"/>
              </w:rPr>
              <w:t>о рисках использования брокером в своих интересах денежных средств и/или ценных бумаг клиента</w:t>
            </w:r>
          </w:p>
          <w:p w14:paraId="73519ADC" w14:textId="7777777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 xml:space="preserve">Цель настоящей декларации – предоставить Вам информацию об основных рисках, с которыми связано использование брокером в своих интересах Ваших денежных средств и (или) ценных бумаг. </w:t>
            </w:r>
          </w:p>
          <w:p w14:paraId="1CAED931" w14:textId="7777777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>1. Риск использования денежных средств</w:t>
            </w:r>
          </w:p>
          <w:p w14:paraId="7ACEFC99" w14:textId="7777777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>В соответствии с законом брокер должен хранить денежные средства клиентов отдельно от своих собственных, однако может их объединять с денежными средствами других клиентов – на специальных брокерских счетах. Если договор о брокерском обслуживании разрешает брокеру использовать Ваши денежные средства, он вправе зачислять их на собственный банковский или клиринговый счет, а также использовать их для обеспечения исполнения обязательств по сделкам, совершаемым за счет других своих клиентов. В этом случае Вы принимаете на себя риск банкротства брокера, если он не сможет вернуть сумму Ваших средств, которые использовал. Такой риск не зависит от того осуществляли ли Вы сами сделки с использованием чужих средств или нет и в настоящее время не страхуется.</w:t>
            </w:r>
          </w:p>
          <w:p w14:paraId="71BD6494" w14:textId="7777777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 xml:space="preserve">2. Риск использования ценных бумаг </w:t>
            </w:r>
          </w:p>
          <w:p w14:paraId="09C86A4B" w14:textId="7777777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 xml:space="preserve">В соответствии с законом ценные бумаги инвесторов учитываются на их собственных счетах депо. Если договор о брокерском обслуживании разрешает брокеру использовать Ваши ценные бумаги, он вправе зачислять их на депозитарный счет (субсчет), предназначенный для учета собственных ценных бумаг, а также использовать их для обеспечения исполнения обязательств по сделкам, совершаемым за счет других своих клиентов. В этом случае Вы принимаете на себя риск банкротства брокера, если он не сможет вернуть Вам ценные бумаги, которые использовал. </w:t>
            </w:r>
            <w:r w:rsidRPr="0083783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Такой риск не зависит от того осуществляли ли Вы сами сделки с использованием чужих ценных бумаг или нет и в настоящее время не страхуется. </w:t>
            </w:r>
          </w:p>
          <w:p w14:paraId="68A281B5" w14:textId="7777777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D56DB04" w14:textId="7777777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>Внимательно ознакомьтесь с договором для того, чтобы оценить, какие полномочия по использованию Вашего имущества будет иметь Ваш брокер, каковы правила его хранения, а также возврата.</w:t>
            </w:r>
          </w:p>
          <w:p w14:paraId="481CEF43" w14:textId="7777777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 xml:space="preserve">Если Вы предоставили брокеру право использования в его интересах Ваших денежных средств и (или) ценных бумаг, Вы вправе в любое время подать Вашему брокеру заявление об отказе от предоставления ему такого права. </w:t>
            </w:r>
          </w:p>
          <w:p w14:paraId="1913A9C5" w14:textId="7777777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>Данная декларация не имеет своей целью заставить Вас отказаться от предоставления Вашему брокеру права использования в своих интересах Ваших денежных средств и (или) ценных бумаг, а призвана помочь Вам оценить их риски и ответственно подойти к решению этого вопроса.</w:t>
            </w:r>
          </w:p>
          <w:p w14:paraId="2264A889" w14:textId="7777777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 xml:space="preserve">Убедитесь, что настоящая декларация о рисках понятна Вам, и при необходимости получите разъяснения у Вашего брокера или консультанта, специализирующегося на соответствующих вопросах. </w:t>
            </w:r>
          </w:p>
          <w:p w14:paraId="0AA24B91" w14:textId="77777777" w:rsidR="00837838" w:rsidRPr="00E032F3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32F3">
              <w:rPr>
                <w:rFonts w:ascii="Times New Roman" w:hAnsi="Times New Roman"/>
                <w:b/>
                <w:sz w:val="20"/>
                <w:szCs w:val="20"/>
              </w:rPr>
              <w:t>Уведомление о праве направить брокеру заявление об отказе от предоставления брокеру права использования в своих интересах денежных средств и (или) ценных бумаг клиента</w:t>
            </w:r>
          </w:p>
          <w:p w14:paraId="0F39AB35" w14:textId="327DC8A0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 xml:space="preserve">Клиент, предоставивший Компании право использования в своих интересах денежных средств и/или ценных бумаг Клиента, вправе в любое время направить Компании заявление об отказе от предоставления Компании права использования в своих интересах денежных средств и/или ценных бумаг Клиента. Заявление об отказе от предоставления Компании права использования в своих интересах денежных средств и/или ценных бумаг Клиента направляется в виде Заявления об изменении условий 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>рокерского обслуживания (Приложение № 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 xml:space="preserve">2 к Регламенту </w:t>
            </w:r>
            <w:r w:rsidRPr="00D068FC">
              <w:rPr>
                <w:rFonts w:ascii="Times New Roman" w:hAnsi="Times New Roman"/>
                <w:sz w:val="18"/>
                <w:szCs w:val="18"/>
              </w:rPr>
              <w:t>брокерского обслуживания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 xml:space="preserve">) c отметкой об отказе от предоставления Компании соответствующего права. Такое заявление направляется в соответствии с порядком, установленным частью 2 Регламента </w:t>
            </w:r>
            <w:r w:rsidRPr="00D068FC">
              <w:rPr>
                <w:rFonts w:ascii="Times New Roman" w:hAnsi="Times New Roman"/>
                <w:sz w:val="18"/>
                <w:szCs w:val="18"/>
              </w:rPr>
              <w:t>брокерского обслуживания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269C634" w14:textId="2634FC97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 xml:space="preserve">Реализуя свое право на отказ от предоставления Компании права использования в своих интересах денежных средств и/или ценных бумаг Клиента, Клиенту следует учитывать, что такой отказ влечет невозможность совершения Клиентом сделок и договоров, перечисленных в п. 1.5.7 Регламента </w:t>
            </w:r>
            <w:r w:rsidRPr="00D068FC">
              <w:rPr>
                <w:rFonts w:ascii="Times New Roman" w:hAnsi="Times New Roman"/>
                <w:sz w:val="18"/>
                <w:szCs w:val="18"/>
              </w:rPr>
              <w:t>брокерского обслуживания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EE58A57" w14:textId="1418870B" w:rsidR="00837838" w:rsidRPr="00837838" w:rsidRDefault="00837838" w:rsidP="0083783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7838">
              <w:rPr>
                <w:rFonts w:ascii="Times New Roman" w:hAnsi="Times New Roman"/>
                <w:sz w:val="18"/>
                <w:szCs w:val="18"/>
              </w:rPr>
              <w:t xml:space="preserve">В случае, если отказ от предоставления Компании права использования денежных средств и/или ценных бумаг Клиента в своих интересах заявляется Клиентом, 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 xml:space="preserve">рокерское обслуживания которого осуществляется на условиях Единого лимита, такой отказ является отказом Клиента от 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 xml:space="preserve">рокерского обслуживания на условиях Единого лимита. В этом случае отказ Клиента от оказания ему 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 xml:space="preserve">рокерского обслуживания на условиях Единого лимита считается заявленным вне зависимости от наличия отдельной отметки о прекращении 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 xml:space="preserve">рокерского обслуживания на условиях Единого лимита в таком Заявлении об изменении условий 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>рокерского обслуживания (Приложение № 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 xml:space="preserve">2 к Регламенту </w:t>
            </w:r>
            <w:r w:rsidRPr="00D068FC">
              <w:rPr>
                <w:rFonts w:ascii="Times New Roman" w:hAnsi="Times New Roman"/>
                <w:sz w:val="18"/>
                <w:szCs w:val="18"/>
              </w:rPr>
              <w:t>брокерского обслуживания</w:t>
            </w:r>
            <w:r w:rsidRPr="00837838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4F68592B" w14:textId="771F7CF1" w:rsidR="002D514A" w:rsidRPr="00D068FC" w:rsidRDefault="002D514A" w:rsidP="00D068FC">
            <w:pPr>
              <w:tabs>
                <w:tab w:val="left" w:pos="1134"/>
              </w:tabs>
              <w:spacing w:before="120" w:after="120" w:line="240" w:lineRule="auto"/>
              <w:mirrorIndent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8FC">
              <w:rPr>
                <w:rFonts w:ascii="Times New Roman" w:hAnsi="Times New Roman"/>
                <w:sz w:val="18"/>
                <w:szCs w:val="18"/>
              </w:rPr>
              <w:t>Отказ от предоставления Компании права использования в своих интересах денежных средств Клиента является отказом Клиента от предоставления Компании права использования в своих интересах ценных бумаг Клиента. В этом случае отказ Клиента от предоставления Компании права использования в своих интересах ценных бумаг Клиента считается заявленным вне зависимости от наличия отдельной отметки об отказе от предоставления Компании права использования в своих интересах ценных бумаг Клиента в Заявлении об изменении условий брокерского обслуживания (Приложение № 1.2 к Регламенту брокерского обслуживания).</w:t>
            </w:r>
          </w:p>
        </w:tc>
      </w:tr>
    </w:tbl>
    <w:p w14:paraId="07A6740C" w14:textId="73310351" w:rsidR="00D03A88" w:rsidRPr="00D068FC" w:rsidRDefault="00D03A88" w:rsidP="00F73E18">
      <w:pPr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</w:p>
    <w:p w14:paraId="551C703D" w14:textId="3F7EFF59" w:rsidR="00B74647" w:rsidRPr="00D068FC" w:rsidRDefault="00B74647" w:rsidP="005277C8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  <w:r w:rsidRPr="00D068FC">
        <w:rPr>
          <w:rFonts w:ascii="Times New Roman" w:eastAsia="MS Gothic" w:hAnsi="Times New Roman"/>
          <w:sz w:val="20"/>
          <w:szCs w:val="20"/>
        </w:rPr>
        <w:t>Совершени</w:t>
      </w:r>
      <w:r w:rsidR="00ED5972" w:rsidRPr="00D068FC">
        <w:rPr>
          <w:rFonts w:ascii="Times New Roman" w:eastAsia="MS Gothic" w:hAnsi="Times New Roman"/>
          <w:sz w:val="20"/>
          <w:szCs w:val="20"/>
        </w:rPr>
        <w:t xml:space="preserve">е </w:t>
      </w:r>
      <w:r w:rsidRPr="00D068FC">
        <w:rPr>
          <w:rFonts w:ascii="Times New Roman" w:eastAsia="MS Gothic" w:hAnsi="Times New Roman"/>
          <w:sz w:val="20"/>
          <w:szCs w:val="20"/>
        </w:rPr>
        <w:t xml:space="preserve">необеспеченных </w:t>
      </w:r>
      <w:r w:rsidR="001A1AE3" w:rsidRPr="00D068FC">
        <w:rPr>
          <w:rFonts w:ascii="Times New Roman" w:eastAsia="MS Gothic" w:hAnsi="Times New Roman"/>
          <w:sz w:val="20"/>
          <w:szCs w:val="20"/>
        </w:rPr>
        <w:t>сделок</w:t>
      </w:r>
      <w:r w:rsidR="00C74605" w:rsidRPr="00D068FC">
        <w:rPr>
          <w:rFonts w:ascii="Times New Roman" w:eastAsia="MS Gothic" w:hAnsi="Times New Roman"/>
          <w:sz w:val="20"/>
          <w:szCs w:val="20"/>
        </w:rPr>
        <w:t xml:space="preserve"> </w:t>
      </w:r>
      <w:r w:rsidR="005E421E" w:rsidRPr="005E421E">
        <w:rPr>
          <w:rFonts w:ascii="Times New Roman" w:eastAsia="MS Gothic" w:hAnsi="Times New Roman"/>
          <w:i/>
          <w:sz w:val="20"/>
          <w:szCs w:val="20"/>
        </w:rPr>
        <w:t>(является необходимым условием для предоставления права совершения срочных сделок (заключения договоров, являющихся производными финансовыми инструментами)</w:t>
      </w:r>
      <w:r w:rsidR="005A27F4" w:rsidRPr="00D068FC">
        <w:rPr>
          <w:rFonts w:ascii="Times New Roman" w:eastAsia="MS Gothic" w:hAnsi="Times New Roman"/>
          <w:sz w:val="20"/>
          <w:szCs w:val="20"/>
        </w:rPr>
        <w:t>:</w:t>
      </w:r>
    </w:p>
    <w:tbl>
      <w:tblPr>
        <w:tblStyle w:val="af6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E7F6E" w:rsidRPr="005B5089" w14:paraId="6271FCBB" w14:textId="77777777" w:rsidTr="009A2119">
        <w:tc>
          <w:tcPr>
            <w:tcW w:w="9498" w:type="dxa"/>
          </w:tcPr>
          <w:p w14:paraId="79773902" w14:textId="50C12E7A" w:rsidR="006E7F6E" w:rsidRPr="00D068FC" w:rsidRDefault="00652535" w:rsidP="009A211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111156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F6E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7F6E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Прошу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Акционерное общество «Инвестиционная компания «Горизонт»</w:t>
            </w:r>
            <w:r w:rsidR="006E7F6E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предоставить возможность совершения необеспеченных сделок</w:t>
            </w:r>
          </w:p>
          <w:p w14:paraId="6DD2E920" w14:textId="77777777" w:rsidR="006E7F6E" w:rsidRPr="00D068FC" w:rsidRDefault="006E7F6E" w:rsidP="009A211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34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Ставя отметку о предоставлении возможности совершения необеспеченных сделок, Клиент подтверждает, что он:</w:t>
            </w:r>
          </w:p>
          <w:p w14:paraId="4F4663F0" w14:textId="32EA4E95" w:rsidR="006E7F6E" w:rsidRPr="00D068FC" w:rsidRDefault="006E7F6E" w:rsidP="009A211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ознакомлен с правилами и особенностями совершения необеспеченных сделок, сделок по закрытию позиций, специальных сделок РЕПО, </w:t>
            </w:r>
            <w:r w:rsidR="004546F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специальных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сделок своп (Приложение № 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</w:rPr>
              <w:t>8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к Регламенту 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</w:rPr>
              <w:t>брокерского обслуживания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);</w:t>
            </w:r>
          </w:p>
          <w:p w14:paraId="5A74DD01" w14:textId="77777777" w:rsidR="006E7F6E" w:rsidRPr="00D068FC" w:rsidRDefault="006E7F6E" w:rsidP="009A211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ознакомлен с тем, что за совершение специальных сделок РЕПО, сделок по закрытию позиций на валютном рынке ПАО Московская Биржа, сделок своп установлено отдельное вознаграждение;</w:t>
            </w:r>
          </w:p>
          <w:p w14:paraId="504F6201" w14:textId="6B61C98C" w:rsidR="006E7F6E" w:rsidRPr="00D068FC" w:rsidRDefault="006E7F6E" w:rsidP="009A211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понимает, что совершение необеспеченных сделок сопряжено с дополнительными рисками.</w:t>
            </w:r>
          </w:p>
          <w:p w14:paraId="5D4C74B0" w14:textId="42A65A0C" w:rsidR="00EE44FD" w:rsidRPr="00D068FC" w:rsidRDefault="00EE44FD" w:rsidP="00EE44F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Если иное не установлено соглашением между Компанией и Клиентом, отказ от предоставления Компании права использования в своих интересах денежных средств и</w:t>
            </w:r>
            <w:r w:rsidR="00662D15" w:rsidRPr="00D068FC">
              <w:rPr>
                <w:rFonts w:ascii="Times New Roman" w:eastAsia="MS Gothic" w:hAnsi="Times New Roman"/>
                <w:sz w:val="16"/>
                <w:szCs w:val="16"/>
              </w:rPr>
              <w:t>/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или ценных бумаг Клиента влечет невозможность совершения Клиентом необеспеченных сделок</w:t>
            </w:r>
            <w:r w:rsidR="0063069B" w:rsidRPr="00D068FC">
              <w:rPr>
                <w:rFonts w:ascii="Times New Roman" w:eastAsia="MS Gothic" w:hAnsi="Times New Roman"/>
                <w:sz w:val="16"/>
                <w:szCs w:val="16"/>
              </w:rPr>
              <w:t>, за исключением сделок, указанных в подп</w:t>
            </w:r>
            <w:r w:rsidR="00BD5A10" w:rsidRPr="00D068FC">
              <w:rPr>
                <w:rFonts w:ascii="Times New Roman" w:eastAsia="MS Gothic" w:hAnsi="Times New Roman"/>
                <w:sz w:val="16"/>
                <w:szCs w:val="16"/>
              </w:rPr>
              <w:t>ункте</w:t>
            </w:r>
            <w:r w:rsidR="0063069B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1 п</w:t>
            </w:r>
            <w:r w:rsidR="00BD5A10" w:rsidRPr="00D068FC">
              <w:rPr>
                <w:rFonts w:ascii="Times New Roman" w:eastAsia="MS Gothic" w:hAnsi="Times New Roman"/>
                <w:sz w:val="16"/>
                <w:szCs w:val="16"/>
              </w:rPr>
              <w:t>ункта</w:t>
            </w:r>
            <w:r w:rsidR="0063069B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1.5.7 Регламент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</w:rPr>
              <w:t>а</w:t>
            </w:r>
            <w:r w:rsidR="0063069B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D71EB3" w:rsidRPr="00D068FC">
              <w:rPr>
                <w:rFonts w:ascii="Times New Roman" w:eastAsia="MS Gothic" w:hAnsi="Times New Roman"/>
                <w:sz w:val="16"/>
                <w:szCs w:val="16"/>
              </w:rPr>
              <w:t>брокерского обслуживания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217E0383" w14:textId="7797B170" w:rsidR="002F6BCC" w:rsidRPr="00D068FC" w:rsidRDefault="0076622A" w:rsidP="0048068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Клиент-физическое лицо, с</w:t>
            </w:r>
            <w:r w:rsidR="002F6BCC" w:rsidRPr="00D068FC">
              <w:rPr>
                <w:rFonts w:ascii="Times New Roman" w:eastAsia="MS Gothic" w:hAnsi="Times New Roman"/>
                <w:sz w:val="16"/>
                <w:szCs w:val="16"/>
              </w:rPr>
              <w:t>тавя отметку о предоставлении возможности совершения необеспеченных сделок, подтверждает, что он ознакомлен, что поручения физического лица, не являющегося квалифицированным инвестором, на совершение необеспеченных сделок исполняются только после прохождения таким клиентом тестирования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по соответствующим сделкам и получения им положительного результата такого тестирования</w:t>
            </w:r>
            <w:r w:rsidR="002F6BCC"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106F96C2" w14:textId="6D1D937D" w:rsidR="006E7F6E" w:rsidRPr="00D068FC" w:rsidRDefault="00652535" w:rsidP="009A211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34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196923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F6E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7F6E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Прошу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Акционерное общество «Инвестиционная компания «Горизонт»</w:t>
            </w:r>
            <w:r w:rsidR="006E7F6E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ограничить меня в возможности совершения необеспеченных сделок.</w:t>
            </w:r>
          </w:p>
          <w:p w14:paraId="1A6420B1" w14:textId="77777777" w:rsidR="006E7F6E" w:rsidRDefault="006E7F6E" w:rsidP="009A211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contextualSpacing w:val="0"/>
              <w:jc w:val="both"/>
              <w:rPr>
                <w:rFonts w:ascii="Times New Roman" w:eastAsia="MS Gothic" w:hAnsi="Times New Roman"/>
                <w:i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i/>
                <w:sz w:val="16"/>
                <w:szCs w:val="16"/>
              </w:rPr>
              <w:t>В этом случае Клиент не будет иметь возможность подавать поручение в целях совершения сделки, в результате исполнения которого у Клиента возникает непокрытая позиция.</w:t>
            </w:r>
          </w:p>
          <w:p w14:paraId="751F6DFE" w14:textId="0B5FD405" w:rsidR="005E421E" w:rsidRDefault="005E421E" w:rsidP="005E421E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5E421E">
              <w:rPr>
                <w:rFonts w:ascii="Times New Roman" w:eastAsia="MS Gothic" w:hAnsi="Times New Roman"/>
                <w:sz w:val="16"/>
                <w:szCs w:val="16"/>
              </w:rPr>
              <w:lastRenderedPageBreak/>
              <w:t>Ограничение в возможности совершения Клиентом необеспеченных сделок является основанием для прекращения у Клиента права на совершение срочных сделок (заключение договоров, являющихся производными финансовыми инструментами).</w:t>
            </w:r>
          </w:p>
          <w:p w14:paraId="76558D3E" w14:textId="77777777" w:rsidR="005E421E" w:rsidRPr="005E421E" w:rsidRDefault="005E421E" w:rsidP="005E421E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p w14:paraId="23F75483" w14:textId="51CB9D56" w:rsidR="005E421E" w:rsidRPr="00D068FC" w:rsidRDefault="005E421E" w:rsidP="005E421E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459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5E421E">
              <w:rPr>
                <w:rFonts w:ascii="Times New Roman" w:eastAsia="MS Gothic" w:hAnsi="Times New Roman"/>
                <w:sz w:val="16"/>
                <w:szCs w:val="16"/>
              </w:rPr>
              <w:t>В случае если в одном Заявлении об изменении условий Брокерского обслуживания стоит отметка о регистрации в торговой системе ПАО Московская Биржа: Срочный рынок и отметка об ограничении Клиента в возможности совершения необеспеченных сделок, Компания не принимает во внимание отметку Клиента о регистрации в торговой системе ПАО Московская Биржа: Срочный рынок.</w:t>
            </w:r>
          </w:p>
        </w:tc>
      </w:tr>
    </w:tbl>
    <w:p w14:paraId="6F679EE0" w14:textId="01917A83" w:rsidR="00143159" w:rsidRPr="00D068FC" w:rsidRDefault="00143159" w:rsidP="007E7937">
      <w:pPr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</w:p>
    <w:p w14:paraId="58E71182" w14:textId="7CE1661E" w:rsidR="00EB4234" w:rsidRPr="00D068FC" w:rsidRDefault="00AF62A3" w:rsidP="00EB4234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  <w:r w:rsidRPr="00D068FC">
        <w:rPr>
          <w:rFonts w:ascii="Times New Roman" w:eastAsia="MS Gothic" w:hAnsi="Times New Roman"/>
          <w:sz w:val="20"/>
          <w:szCs w:val="20"/>
        </w:rPr>
        <w:t xml:space="preserve">Заключение договоров </w:t>
      </w:r>
      <w:r w:rsidR="004A3769">
        <w:rPr>
          <w:rFonts w:ascii="Times New Roman" w:eastAsia="MS Gothic" w:hAnsi="Times New Roman"/>
          <w:sz w:val="20"/>
          <w:szCs w:val="20"/>
        </w:rPr>
        <w:t xml:space="preserve">процентного </w:t>
      </w:r>
      <w:r w:rsidRPr="00D068FC">
        <w:rPr>
          <w:rFonts w:ascii="Times New Roman" w:eastAsia="MS Gothic" w:hAnsi="Times New Roman"/>
          <w:sz w:val="20"/>
          <w:szCs w:val="20"/>
        </w:rPr>
        <w:t>займа</w:t>
      </w:r>
      <w:r w:rsidR="00273416" w:rsidRPr="00D068FC">
        <w:rPr>
          <w:rFonts w:ascii="Times New Roman" w:eastAsia="MS Gothic" w:hAnsi="Times New Roman"/>
          <w:sz w:val="20"/>
          <w:szCs w:val="20"/>
        </w:rPr>
        <w:t xml:space="preserve"> </w:t>
      </w:r>
      <w:r w:rsidR="00AB4E07" w:rsidRPr="00D068FC">
        <w:rPr>
          <w:rFonts w:ascii="Times New Roman" w:eastAsia="MS Gothic" w:hAnsi="Times New Roman"/>
          <w:sz w:val="20"/>
          <w:szCs w:val="20"/>
        </w:rPr>
        <w:t xml:space="preserve">и </w:t>
      </w:r>
      <w:r w:rsidR="00273416" w:rsidRPr="00D068FC">
        <w:rPr>
          <w:rFonts w:ascii="Times New Roman" w:eastAsia="MS Gothic" w:hAnsi="Times New Roman"/>
          <w:sz w:val="20"/>
          <w:szCs w:val="20"/>
        </w:rPr>
        <w:t>совершение сделок</w:t>
      </w:r>
      <w:r w:rsidR="00EB4234" w:rsidRPr="00D068FC">
        <w:rPr>
          <w:rFonts w:ascii="Times New Roman" w:eastAsia="MS Gothic" w:hAnsi="Times New Roman"/>
          <w:sz w:val="20"/>
          <w:szCs w:val="20"/>
        </w:rPr>
        <w:t xml:space="preserve"> </w:t>
      </w:r>
      <w:r w:rsidR="00273416" w:rsidRPr="00D068FC">
        <w:rPr>
          <w:rFonts w:ascii="Times New Roman" w:eastAsia="MS Gothic" w:hAnsi="Times New Roman"/>
          <w:sz w:val="20"/>
          <w:szCs w:val="20"/>
        </w:rPr>
        <w:t xml:space="preserve">РЕПО </w:t>
      </w:r>
      <w:r w:rsidR="00EB4234" w:rsidRPr="00D068FC">
        <w:rPr>
          <w:rFonts w:ascii="Times New Roman" w:eastAsia="MS Gothic" w:hAnsi="Times New Roman"/>
          <w:sz w:val="20"/>
          <w:szCs w:val="20"/>
        </w:rPr>
        <w:t xml:space="preserve">с временно свободными </w:t>
      </w:r>
      <w:r w:rsidRPr="00D068FC">
        <w:rPr>
          <w:rFonts w:ascii="Times New Roman" w:eastAsia="MS Gothic" w:hAnsi="Times New Roman"/>
          <w:sz w:val="20"/>
          <w:szCs w:val="20"/>
        </w:rPr>
        <w:t>ценными бумагами</w:t>
      </w:r>
      <w:r w:rsidR="00EB4234" w:rsidRPr="00D068FC">
        <w:rPr>
          <w:rFonts w:ascii="Times New Roman" w:eastAsia="MS Gothic" w:hAnsi="Times New Roman"/>
          <w:sz w:val="20"/>
          <w:szCs w:val="20"/>
        </w:rPr>
        <w:t>:</w:t>
      </w:r>
    </w:p>
    <w:tbl>
      <w:tblPr>
        <w:tblStyle w:val="af6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B4234" w:rsidRPr="005B5089" w14:paraId="36B34409" w14:textId="77777777" w:rsidTr="007E7689">
        <w:tc>
          <w:tcPr>
            <w:tcW w:w="9498" w:type="dxa"/>
          </w:tcPr>
          <w:p w14:paraId="33979373" w14:textId="4E0BB9BA" w:rsidR="00EB4234" w:rsidRPr="00D068FC" w:rsidRDefault="00652535" w:rsidP="007E768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34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75702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234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4234" w:rsidRPr="00D068FC" w:rsidDel="00C84625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EB4234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Прошу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Акционерное общество «Инвестиционная компания «Горизонт»</w:t>
            </w:r>
            <w:r w:rsidR="00EB4234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предоставить возможность </w:t>
            </w:r>
            <w:r w:rsidR="00291322" w:rsidRPr="00D068FC">
              <w:rPr>
                <w:rFonts w:ascii="Times New Roman" w:eastAsia="MS Gothic" w:hAnsi="Times New Roman"/>
                <w:sz w:val="16"/>
                <w:szCs w:val="16"/>
              </w:rPr>
              <w:t>за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>ключения договоров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 xml:space="preserve"> процентного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займа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 совершения сделок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РЕПО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>с</w:t>
            </w:r>
            <w:r w:rsidR="00EB4234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временно свободными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>ценными бумагами</w:t>
            </w:r>
            <w:r w:rsidR="00EB4234"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590079D8" w14:textId="77777777" w:rsidR="00EB4234" w:rsidRPr="00D068FC" w:rsidRDefault="00EB4234" w:rsidP="007E768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34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p w14:paraId="024F2FDC" w14:textId="3B7487FC" w:rsidR="00EB4234" w:rsidRPr="00D068FC" w:rsidRDefault="00EB4234" w:rsidP="007E768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Ставя отметку о предоставлении возможности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>заключения договоров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 xml:space="preserve"> процентного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займа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 совершения сделок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РЕПО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>с временно свободными ценными бумагами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, Клиент подтверждает, что он:</w:t>
            </w:r>
          </w:p>
          <w:p w14:paraId="32EBBCFA" w14:textId="6C4F4E28" w:rsidR="00EB4234" w:rsidRPr="00D068FC" w:rsidRDefault="00EB4234" w:rsidP="007E768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ознакомлен с Порядком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>заключения договоров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 xml:space="preserve"> процентного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займа 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и совершения сделок РЕПО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>с временно свободными ценными бумагами</w:t>
            </w:r>
            <w:r w:rsidR="00AF62A3" w:rsidRPr="00D068FC" w:rsidDel="00AF62A3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(Приложение № </w:t>
            </w:r>
            <w:r w:rsidR="00E258A6" w:rsidRPr="00D068FC">
              <w:rPr>
                <w:rFonts w:ascii="Times New Roman" w:eastAsia="MS Gothic" w:hAnsi="Times New Roman"/>
                <w:sz w:val="16"/>
                <w:szCs w:val="16"/>
              </w:rPr>
              <w:t>9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к Регламенту </w:t>
            </w:r>
            <w:r w:rsidR="00E258A6" w:rsidRPr="00D068FC">
              <w:rPr>
                <w:rFonts w:ascii="Times New Roman" w:eastAsia="MS Gothic" w:hAnsi="Times New Roman"/>
                <w:sz w:val="16"/>
                <w:szCs w:val="16"/>
              </w:rPr>
              <w:t>брокерского обслуживания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);</w:t>
            </w:r>
          </w:p>
          <w:p w14:paraId="18BD8330" w14:textId="07D1F94C" w:rsidR="00EB4234" w:rsidRPr="00D068FC" w:rsidRDefault="00EB4234" w:rsidP="007E768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согласен на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заключение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Акционерным обществом «Инвестиционная компания «Горизонт»</w:t>
            </w:r>
            <w:r w:rsidR="00BC0DC8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от своего имени за счет Клиента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договоров 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>процентного</w:t>
            </w:r>
            <w:r w:rsidR="004A3769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>займа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 совершения сделок РЕПО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с временно свободными ценными бумагами</w:t>
            </w:r>
            <w:r w:rsidR="00AF62A3" w:rsidRPr="00D068FC" w:rsidDel="00AF62A3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на условиях длящегося поручения, условия которого изложены в Приложении № </w:t>
            </w:r>
            <w:r w:rsidR="00E258A6" w:rsidRPr="00D068FC">
              <w:rPr>
                <w:rFonts w:ascii="Times New Roman" w:eastAsia="MS Gothic" w:hAnsi="Times New Roman"/>
                <w:sz w:val="16"/>
                <w:szCs w:val="16"/>
              </w:rPr>
              <w:t>9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к Регламенту </w:t>
            </w:r>
            <w:r w:rsidR="00E258A6" w:rsidRPr="00D068FC">
              <w:rPr>
                <w:rFonts w:ascii="Times New Roman" w:eastAsia="MS Gothic" w:hAnsi="Times New Roman"/>
                <w:sz w:val="16"/>
                <w:szCs w:val="16"/>
              </w:rPr>
              <w:t>брокерского обслуживания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;</w:t>
            </w:r>
          </w:p>
          <w:p w14:paraId="395E940A" w14:textId="7883FBC9" w:rsidR="00EB4234" w:rsidRPr="00D068FC" w:rsidRDefault="00EB4234" w:rsidP="007E768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понимает, что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>за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>ключение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договоров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 xml:space="preserve"> процентного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займа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или совершение сделок РЕПО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с временно свободными ценными бумагами</w:t>
            </w:r>
            <w:r w:rsidR="00AF62A3" w:rsidRPr="00D068FC" w:rsidDel="00AF62A3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означает невозможность совершения </w:t>
            </w:r>
            <w:r w:rsidRPr="00D068FC">
              <w:rPr>
                <w:rFonts w:ascii="Times New Roman" w:eastAsia="MS Gothic" w:hAnsi="Times New Roman"/>
                <w:sz w:val="16"/>
                <w:szCs w:val="16"/>
                <w:lang w:val="en-US"/>
              </w:rPr>
              <w:t>c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AF62A3" w:rsidRPr="00D068FC">
              <w:rPr>
                <w:rFonts w:ascii="Times New Roman" w:eastAsia="MS Gothic" w:hAnsi="Times New Roman"/>
                <w:sz w:val="16"/>
                <w:szCs w:val="16"/>
              </w:rPr>
              <w:t>ценными бумагами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, 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>переданными в заем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либо покупателю по первой части сделки РЕПО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, сделок, исполнение по которым должно быть осуществлено до даты </w:t>
            </w:r>
            <w:r w:rsidR="00316670" w:rsidRPr="00D068FC">
              <w:rPr>
                <w:rFonts w:ascii="Times New Roman" w:eastAsia="MS Gothic" w:hAnsi="Times New Roman"/>
                <w:sz w:val="16"/>
                <w:szCs w:val="16"/>
              </w:rPr>
              <w:t>возврата ценных бумаг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;</w:t>
            </w:r>
          </w:p>
          <w:p w14:paraId="7C622809" w14:textId="364886DF" w:rsidR="00EB4234" w:rsidRPr="00D068FC" w:rsidRDefault="00EB4234" w:rsidP="007E768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понимает, что </w:t>
            </w:r>
            <w:r w:rsidR="00316670" w:rsidRPr="00D068FC">
              <w:rPr>
                <w:rFonts w:ascii="Times New Roman" w:eastAsia="MS Gothic" w:hAnsi="Times New Roman"/>
                <w:sz w:val="16"/>
                <w:szCs w:val="16"/>
              </w:rPr>
              <w:t>заключение договоров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 xml:space="preserve"> процентного</w:t>
            </w:r>
            <w:r w:rsidR="00316670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займа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или совершения сделок РЕПО</w:t>
            </w:r>
            <w:r w:rsidR="00316670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с временно свободными ценными бумагами</w:t>
            </w:r>
            <w:r w:rsidR="00316670" w:rsidRPr="00D068FC" w:rsidDel="00AF62A3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означа</w:t>
            </w:r>
            <w:r w:rsidR="0042136B" w:rsidRPr="00D068FC">
              <w:rPr>
                <w:rFonts w:ascii="Times New Roman" w:eastAsia="MS Gothic" w:hAnsi="Times New Roman"/>
                <w:sz w:val="16"/>
                <w:szCs w:val="16"/>
              </w:rPr>
              <w:t>ет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невозможность совершения </w:t>
            </w:r>
            <w:r w:rsidRPr="00D068FC">
              <w:rPr>
                <w:rFonts w:ascii="Times New Roman" w:eastAsia="MS Gothic" w:hAnsi="Times New Roman"/>
                <w:sz w:val="16"/>
                <w:szCs w:val="16"/>
                <w:lang w:val="en-US"/>
              </w:rPr>
              <w:t>c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42136B" w:rsidRPr="00D068FC">
              <w:rPr>
                <w:rFonts w:ascii="Times New Roman" w:eastAsia="MS Gothic" w:hAnsi="Times New Roman"/>
                <w:sz w:val="16"/>
                <w:szCs w:val="16"/>
              </w:rPr>
              <w:t>ценными бумагами, переданными в заем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либо покупателю по первой части сделки РЕПО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, неторговых операций ранее даты </w:t>
            </w:r>
            <w:r w:rsidR="0042136B" w:rsidRPr="00D068FC">
              <w:rPr>
                <w:rFonts w:ascii="Times New Roman" w:eastAsia="MS Gothic" w:hAnsi="Times New Roman"/>
                <w:sz w:val="16"/>
                <w:szCs w:val="16"/>
              </w:rPr>
              <w:t>возврата ценных бумаг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;</w:t>
            </w:r>
          </w:p>
          <w:p w14:paraId="1FD8236E" w14:textId="320FE016" w:rsidR="0042136B" w:rsidRPr="00D068FC" w:rsidRDefault="00EB4234" w:rsidP="007E768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понимает, что направление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Акционерному обществу «Инвестиционная компания «Горизонт»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поручения на сделку с 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>ценными бумагами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, 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>переданными в заем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либо покупателю по первой части сделки РЕПО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, будет означать направление в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Акционерное общество «Инвестиционная компания «Горизонт»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поручения на совершение необеспеченной сделки</w:t>
            </w:r>
            <w:r w:rsidR="0042136B" w:rsidRPr="00D068FC">
              <w:rPr>
                <w:rFonts w:ascii="Times New Roman" w:eastAsia="MS Gothic" w:hAnsi="Times New Roman"/>
                <w:sz w:val="16"/>
                <w:szCs w:val="16"/>
              </w:rPr>
              <w:t>;</w:t>
            </w:r>
          </w:p>
          <w:p w14:paraId="53ADE4F7" w14:textId="02766AFA" w:rsidR="009A4333" w:rsidRPr="00D068FC" w:rsidRDefault="0042136B" w:rsidP="007E7689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понимает, что в период с даты передачи ценных </w:t>
            </w:r>
            <w:r w:rsidR="000F0028" w:rsidRPr="00D068FC">
              <w:rPr>
                <w:rFonts w:ascii="Times New Roman" w:eastAsia="MS Gothic" w:hAnsi="Times New Roman"/>
                <w:sz w:val="16"/>
                <w:szCs w:val="16"/>
              </w:rPr>
              <w:t>бумаг в заем по дату их возврата, лицом, имеющим право на реализацию прав, закрепленных соответствующими ценными бумагами (право на участие в собрании, право на получение дохода и др.), будет являться</w:t>
            </w:r>
            <w:r w:rsidR="009A4333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0F0028" w:rsidRPr="00D068FC">
              <w:rPr>
                <w:rFonts w:ascii="Times New Roman" w:eastAsia="MS Gothic" w:hAnsi="Times New Roman"/>
                <w:sz w:val="16"/>
                <w:szCs w:val="16"/>
              </w:rPr>
              <w:t>заемщик</w:t>
            </w:r>
            <w:r w:rsidR="009A4333" w:rsidRPr="00D068FC">
              <w:rPr>
                <w:rFonts w:ascii="Times New Roman" w:eastAsia="MS Gothic" w:hAnsi="Times New Roman"/>
                <w:sz w:val="16"/>
                <w:szCs w:val="16"/>
              </w:rPr>
              <w:t>;</w:t>
            </w:r>
          </w:p>
          <w:p w14:paraId="5CA6CA64" w14:textId="11F7BF7A" w:rsidR="00EB4234" w:rsidRPr="00D068FC" w:rsidRDefault="009A4333" w:rsidP="009A4333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понимает, что в период с даты передачи ценных бумаг по первой части сделки РЕПО по дату их возврата, лицом, имеющим право на участие в собрании, будет являться покупатель по первой части сделки РЕПО, при этом право на получение дохода по ценным бумагам сохраняется за продавцом по первой части сделки РЕПО.</w:t>
            </w:r>
          </w:p>
          <w:p w14:paraId="68796F94" w14:textId="79AC0CA1" w:rsidR="002F6BCC" w:rsidRPr="00D068FC" w:rsidRDefault="0076622A" w:rsidP="0048068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Клиент-физическое лицо, с</w:t>
            </w:r>
            <w:r w:rsidR="002F6BCC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тавя отметку о предоставлении возможности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заключения договоров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 xml:space="preserve"> процентного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займа и </w:t>
            </w:r>
            <w:r w:rsidR="002F6BCC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совершения сделок РЕПО с временно свободными ценными бумагами, подтверждает, что возможность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совершения сделок РЕПО </w:t>
            </w:r>
            <w:r w:rsidR="002F6BCC" w:rsidRPr="00D068FC">
              <w:rPr>
                <w:rFonts w:ascii="Times New Roman" w:eastAsia="MS Gothic" w:hAnsi="Times New Roman"/>
                <w:sz w:val="16"/>
                <w:szCs w:val="16"/>
              </w:rPr>
              <w:t>будет ему предоставлена только после прохождения таким клиентом тестирования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по соответствующим сделкам и получения им положительного результата такого тестирования</w:t>
            </w:r>
            <w:r w:rsidR="002F6BCC"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05AF588A" w14:textId="5984FA09" w:rsidR="00EB4234" w:rsidRPr="00D068FC" w:rsidRDefault="00EB4234" w:rsidP="007E7689">
            <w:pPr>
              <w:pStyle w:val="a4"/>
              <w:autoSpaceDE w:val="0"/>
              <w:autoSpaceDN w:val="0"/>
              <w:adjustRightInd w:val="0"/>
              <w:spacing w:before="120" w:after="120"/>
              <w:ind w:left="34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Клиент вправе отказаться от заключения 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>договоров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 xml:space="preserve"> процентного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займа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 совершения сделок РЕПО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с временно свободными 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>ценными бумагами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, направив в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Акционерное общество «Инвестиционная компания «Горизонт»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Заявление об изменении условий Брокерского обслуживания с отметкой об отказе от 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>заключения договоров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 xml:space="preserve"> процентного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займа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 совершения сделок РЕПО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с временно свободными ценными бумагами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  <w:p w14:paraId="32E4636D" w14:textId="77777777" w:rsidR="00EB4234" w:rsidRPr="00D068FC" w:rsidRDefault="00EB4234" w:rsidP="007E7689">
            <w:pPr>
              <w:pStyle w:val="a4"/>
              <w:tabs>
                <w:tab w:val="left" w:pos="1134"/>
              </w:tabs>
              <w:ind w:left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p w14:paraId="7EC71666" w14:textId="0669D8FC" w:rsidR="00EB4234" w:rsidRPr="00D068FC" w:rsidRDefault="00652535" w:rsidP="00DB0C48">
            <w:pPr>
              <w:pStyle w:val="a4"/>
              <w:autoSpaceDE w:val="0"/>
              <w:autoSpaceDN w:val="0"/>
              <w:adjustRightInd w:val="0"/>
              <w:spacing w:before="120" w:after="120" w:line="240" w:lineRule="auto"/>
              <w:ind w:left="34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-94700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234" w:rsidRPr="00D068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4234" w:rsidRPr="00D068FC" w:rsidDel="00BA594B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EB4234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Настоящим выражаю свой отказ от 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заключения </w:t>
            </w:r>
            <w:r w:rsidR="003A7FD0">
              <w:rPr>
                <w:rFonts w:ascii="Times New Roman" w:eastAsia="MS Gothic" w:hAnsi="Times New Roman"/>
                <w:sz w:val="16"/>
                <w:szCs w:val="16"/>
              </w:rPr>
              <w:t>Акционерным обществом «Инвестиционная компания «Горизонт»</w:t>
            </w:r>
            <w:r w:rsidR="00BC0DC8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EB4234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от своего имени за мой счет 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>договоров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 xml:space="preserve"> процентного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займа</w:t>
            </w:r>
            <w:r w:rsidR="00CA54B7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и </w:t>
            </w:r>
            <w:r w:rsidR="00273416" w:rsidRPr="00D068FC">
              <w:rPr>
                <w:rFonts w:ascii="Times New Roman" w:eastAsia="MS Gothic" w:hAnsi="Times New Roman"/>
                <w:sz w:val="16"/>
                <w:szCs w:val="16"/>
              </w:rPr>
              <w:t>совершения сделок РЕПО</w:t>
            </w:r>
            <w:r w:rsidR="00DB0C48" w:rsidRPr="00D068FC">
              <w:rPr>
                <w:rFonts w:ascii="Times New Roman" w:eastAsia="MS Gothic" w:hAnsi="Times New Roman"/>
                <w:sz w:val="16"/>
                <w:szCs w:val="16"/>
              </w:rPr>
              <w:t xml:space="preserve"> с временно свободными ценными бумагами</w:t>
            </w:r>
            <w:r w:rsidR="00EB4234" w:rsidRPr="00D068FC">
              <w:rPr>
                <w:rFonts w:ascii="Times New Roman" w:eastAsia="MS Gothic" w:hAnsi="Times New Roman"/>
                <w:sz w:val="16"/>
                <w:szCs w:val="16"/>
              </w:rPr>
              <w:t>.</w:t>
            </w:r>
          </w:p>
        </w:tc>
      </w:tr>
    </w:tbl>
    <w:p w14:paraId="129D7066" w14:textId="77777777" w:rsidR="00EB4234" w:rsidRPr="00D068FC" w:rsidRDefault="00EB4234" w:rsidP="00C8571B">
      <w:pPr>
        <w:pStyle w:val="a4"/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</w:p>
    <w:p w14:paraId="67B5089E" w14:textId="610A6AA7" w:rsidR="00252646" w:rsidRPr="00996B96" w:rsidRDefault="00252646" w:rsidP="00252646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  <w:r w:rsidRPr="00996B96">
        <w:rPr>
          <w:rFonts w:ascii="Times New Roman" w:eastAsia="MS Gothic" w:hAnsi="Times New Roman"/>
          <w:sz w:val="20"/>
          <w:szCs w:val="20"/>
        </w:rPr>
        <w:t xml:space="preserve">Заявление Клиента-физического лица в отношении Договора о </w:t>
      </w:r>
      <w:r>
        <w:rPr>
          <w:rFonts w:ascii="Times New Roman" w:eastAsia="MS Gothic" w:hAnsi="Times New Roman"/>
          <w:sz w:val="20"/>
          <w:szCs w:val="20"/>
        </w:rPr>
        <w:t>б</w:t>
      </w:r>
      <w:r w:rsidRPr="00996B96">
        <w:rPr>
          <w:rFonts w:ascii="Times New Roman" w:eastAsia="MS Gothic" w:hAnsi="Times New Roman"/>
          <w:sz w:val="20"/>
          <w:szCs w:val="20"/>
        </w:rPr>
        <w:t>рокерском обслуживании, предусматривающего ведение индивидуального инвестиционного счета, заключенного в период с 01.01.2015 по 31.12.2023 включительно: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252646" w:rsidRPr="00252646" w14:paraId="451745ED" w14:textId="77777777" w:rsidTr="007D6084">
        <w:trPr>
          <w:trHeight w:val="1171"/>
        </w:trPr>
        <w:tc>
          <w:tcPr>
            <w:tcW w:w="9498" w:type="dxa"/>
            <w:shd w:val="clear" w:color="auto" w:fill="auto"/>
            <w:vAlign w:val="center"/>
          </w:tcPr>
          <w:p w14:paraId="27188CB0" w14:textId="301FF177" w:rsidR="00252646" w:rsidRPr="00996B96" w:rsidRDefault="00652535" w:rsidP="00996B96">
            <w:pPr>
              <w:pStyle w:val="Default"/>
              <w:ind w:left="31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40866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646" w:rsidRPr="00996B9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52646" w:rsidRPr="00996B96">
              <w:rPr>
                <w:rFonts w:ascii="Times New Roman" w:hAnsi="Times New Roman" w:cs="Times New Roman"/>
                <w:sz w:val="16"/>
                <w:szCs w:val="16"/>
              </w:rPr>
              <w:t xml:space="preserve"> Настоящим заявляю об использовании индивидуального инвестиционного счета, ведение которого осуществляется на основании Договора о </w:t>
            </w:r>
            <w:r w:rsidR="0025264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252646" w:rsidRPr="00996B96">
              <w:rPr>
                <w:rFonts w:ascii="Times New Roman" w:hAnsi="Times New Roman" w:cs="Times New Roman"/>
                <w:sz w:val="16"/>
                <w:szCs w:val="16"/>
              </w:rPr>
              <w:t>рокерском обслуживании, дата и номер которого указаны на первой странице настоящего заявления, в качестве индивидуального инвестиционного счета, открытого после 01.01.2024.</w:t>
            </w:r>
          </w:p>
          <w:p w14:paraId="73D9F601" w14:textId="77777777" w:rsidR="00252646" w:rsidRPr="00996B96" w:rsidRDefault="00252646" w:rsidP="007D6084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p w14:paraId="0BBF7BCD" w14:textId="25BA04F7" w:rsidR="00252646" w:rsidRPr="00996B96" w:rsidRDefault="00252646" w:rsidP="007D6084">
            <w:pPr>
              <w:tabs>
                <w:tab w:val="left" w:pos="1134"/>
              </w:tabs>
              <w:spacing w:line="240" w:lineRule="auto"/>
              <w:ind w:left="32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>Ставя отметку об использовании индивидуального инвестиционного счета в качестве индивидуального инвестиционного счета, открытого после 01.01.2024, Клиент подтверждает:</w:t>
            </w:r>
          </w:p>
          <w:p w14:paraId="4BFD2FA1" w14:textId="512CE9A3" w:rsidR="00252646" w:rsidRPr="00996B96" w:rsidRDefault="00252646" w:rsidP="0025264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before="120" w:after="120" w:line="240" w:lineRule="auto"/>
              <w:ind w:left="675" w:hanging="357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 xml:space="preserve">свое согласие с тем, что с даты, следующей за датой настоящего заявления, условия Договора о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рокерском обслуживании, дата и номер которого указаны на первой странице настоящего заявления, определяются Договором о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>рокерском обслуживании, форма и условия которого закреплены в Приложении № 2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.2.1</w:t>
            </w: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 xml:space="preserve"> к </w:t>
            </w:r>
            <w:r w:rsidRPr="00252646">
              <w:rPr>
                <w:rFonts w:ascii="Times New Roman" w:eastAsia="MS Gothic" w:hAnsi="Times New Roman"/>
                <w:sz w:val="16"/>
                <w:szCs w:val="16"/>
              </w:rPr>
              <w:t>Регламенту брокерского обслуживания</w:t>
            </w: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 xml:space="preserve"> - Форма Договора о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>рокерском обслуживании, предусматривающего ведение индивидуального инвестиционного счета, открытого начиная с 01.01.2024;</w:t>
            </w:r>
          </w:p>
          <w:p w14:paraId="4B190A41" w14:textId="7AB8B8C0" w:rsidR="00252646" w:rsidRPr="00996B96" w:rsidRDefault="00252646" w:rsidP="0025264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before="120" w:after="120" w:line="240" w:lineRule="auto"/>
              <w:ind w:left="675" w:hanging="357"/>
              <w:contextualSpacing w:val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 xml:space="preserve">что с условиями Договора о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>рокерском обслуживании, предусматривающего ведение индивидуального инвестиционного счета (Приложение № 2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.2.1</w:t>
            </w: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 xml:space="preserve"> к </w:t>
            </w:r>
            <w:r w:rsidRPr="00D068FC">
              <w:rPr>
                <w:rFonts w:ascii="Times New Roman" w:eastAsia="MS Gothic" w:hAnsi="Times New Roman"/>
                <w:sz w:val="16"/>
                <w:szCs w:val="16"/>
              </w:rPr>
              <w:t>Регламенту брокерского обслуживания</w:t>
            </w: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 xml:space="preserve"> - Форма Договора о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>б</w:t>
            </w: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 xml:space="preserve">рокерском обслуживании, предусматривающего ведение индивидуального инвестиционного счета, открытого начиная с 01.01.2024) размещенного </w:t>
            </w:r>
            <w:r w:rsidRPr="0075656B">
              <w:rPr>
                <w:rFonts w:ascii="Times New Roman" w:eastAsia="MS Gothic" w:hAnsi="Times New Roman"/>
                <w:sz w:val="16"/>
                <w:szCs w:val="16"/>
              </w:rPr>
              <w:t xml:space="preserve">на </w:t>
            </w:r>
            <w:r w:rsidRPr="0075656B">
              <w:rPr>
                <w:rFonts w:ascii="Times New Roman" w:eastAsia="MS Gothic" w:hAnsi="Times New Roman"/>
                <w:sz w:val="16"/>
                <w:szCs w:val="16"/>
              </w:rPr>
              <w:lastRenderedPageBreak/>
              <w:t xml:space="preserve">странице </w:t>
            </w:r>
            <w:r w:rsidRPr="00252646">
              <w:rPr>
                <w:rFonts w:ascii="Times New Roman" w:eastAsia="MS Gothic" w:hAnsi="Times New Roman"/>
                <w:sz w:val="16"/>
                <w:szCs w:val="16"/>
              </w:rPr>
              <w:t xml:space="preserve">Компании в информационно-телекоммуникационной сети «Интернет», расположенной по адресу: </w:t>
            </w:r>
            <w:r w:rsidR="00C4613A" w:rsidRPr="00902781">
              <w:rPr>
                <w:rFonts w:ascii="Times New Roman" w:eastAsia="MS Gothic" w:hAnsi="Times New Roman"/>
                <w:sz w:val="16"/>
                <w:szCs w:val="16"/>
              </w:rPr>
              <w:t>https://www. ikhorizon.ru</w:t>
            </w:r>
            <w:r w:rsidR="00C4613A" w:rsidRPr="00996B96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="00C4613A">
              <w:rPr>
                <w:rFonts w:ascii="Times New Roman" w:eastAsia="MS Gothic" w:hAnsi="Times New Roman"/>
                <w:sz w:val="16"/>
                <w:szCs w:val="16"/>
              </w:rPr>
              <w:t xml:space="preserve">, </w:t>
            </w: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>ознакомлен и согласен, их содержание мне полностью понятно;</w:t>
            </w:r>
          </w:p>
          <w:p w14:paraId="1AAB467E" w14:textId="219F404F" w:rsidR="00252646" w:rsidRPr="00996B96" w:rsidRDefault="00252646" w:rsidP="0025264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before="120" w:after="120" w:line="240" w:lineRule="auto"/>
              <w:ind w:left="675" w:hanging="357"/>
              <w:contextualSpacing w:val="0"/>
              <w:jc w:val="both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996B96">
              <w:rPr>
                <w:rFonts w:ascii="Times New Roman" w:eastAsia="MS Gothic" w:hAnsi="Times New Roman"/>
                <w:sz w:val="16"/>
                <w:szCs w:val="16"/>
              </w:rPr>
              <w:t xml:space="preserve">что понимает, что </w:t>
            </w:r>
            <w:r w:rsidRPr="00996B96">
              <w:rPr>
                <w:rFonts w:ascii="Times New Roman" w:hAnsi="Times New Roman"/>
                <w:color w:val="000000"/>
                <w:sz w:val="16"/>
                <w:szCs w:val="16"/>
              </w:rPr>
              <w:t>до внесения изменений в Налоговый кодекс Российской Федерации сохраняется прежний порядок предоставления инвестиционных налоговых вычетов, который не предполагает возможности одновременно получать вычет в части суммы денежных средств, внесенных на индивидуальный инвестиционный счет, открытый после 01.01.2024, и вычет в сумме положительного финансового результата, полученного по операциям, учитываемым на таком индивидуальном инвестиционном счета, а также не позволяет сохранить налоговые льготы при наличии одновременно нескольких индивидуальных инвестиционных счетов.</w:t>
            </w:r>
          </w:p>
          <w:p w14:paraId="37BC1250" w14:textId="77777777" w:rsidR="00252646" w:rsidRPr="00996B96" w:rsidRDefault="00252646" w:rsidP="007D6084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</w:tc>
      </w:tr>
    </w:tbl>
    <w:p w14:paraId="2474F1E0" w14:textId="77777777" w:rsidR="00252646" w:rsidRDefault="00252646" w:rsidP="00252646">
      <w:pPr>
        <w:tabs>
          <w:tab w:val="left" w:pos="1134"/>
        </w:tabs>
        <w:ind w:left="360"/>
        <w:jc w:val="both"/>
        <w:rPr>
          <w:rFonts w:ascii="Times New Roman" w:eastAsia="MS Gothic" w:hAnsi="Times New Roman"/>
          <w:sz w:val="20"/>
          <w:szCs w:val="20"/>
        </w:rPr>
      </w:pPr>
    </w:p>
    <w:p w14:paraId="0B03F950" w14:textId="1B1B0B88" w:rsidR="006C75C3" w:rsidRPr="00996B96" w:rsidRDefault="007C7694" w:rsidP="00252646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  <w:r w:rsidRPr="00996B96">
        <w:rPr>
          <w:rFonts w:ascii="Times New Roman" w:eastAsia="MS Gothic" w:hAnsi="Times New Roman"/>
          <w:sz w:val="20"/>
          <w:szCs w:val="20"/>
        </w:rPr>
        <w:t>Изменение порядка оплаты</w:t>
      </w:r>
      <w:r w:rsidR="00331D50" w:rsidRPr="00996B96">
        <w:rPr>
          <w:rFonts w:ascii="Times New Roman" w:eastAsia="MS Gothic" w:hAnsi="Times New Roman"/>
          <w:sz w:val="20"/>
          <w:szCs w:val="20"/>
        </w:rPr>
        <w:t xml:space="preserve"> </w:t>
      </w:r>
      <w:r w:rsidR="004A3769" w:rsidRPr="004A3769">
        <w:rPr>
          <w:rFonts w:ascii="Times New Roman" w:eastAsia="MS Gothic" w:hAnsi="Times New Roman"/>
          <w:sz w:val="20"/>
          <w:szCs w:val="20"/>
        </w:rPr>
        <w:t xml:space="preserve">вознаграждения и возмещения расходов </w:t>
      </w:r>
      <w:r w:rsidR="002700C8" w:rsidRPr="00996B96">
        <w:rPr>
          <w:rFonts w:ascii="Times New Roman" w:eastAsia="MS Gothic" w:hAnsi="Times New Roman"/>
          <w:sz w:val="20"/>
          <w:szCs w:val="20"/>
        </w:rPr>
        <w:t>депозитар</w:t>
      </w:r>
      <w:r w:rsidR="004A3769">
        <w:rPr>
          <w:rFonts w:ascii="Times New Roman" w:eastAsia="MS Gothic" w:hAnsi="Times New Roman"/>
          <w:sz w:val="20"/>
          <w:szCs w:val="20"/>
        </w:rPr>
        <w:t>ия</w:t>
      </w:r>
      <w:r w:rsidR="002700C8" w:rsidRPr="00996B96">
        <w:rPr>
          <w:rFonts w:ascii="Times New Roman" w:eastAsia="MS Gothic" w:hAnsi="Times New Roman"/>
          <w:sz w:val="20"/>
          <w:szCs w:val="20"/>
        </w:rPr>
        <w:t xml:space="preserve"> </w:t>
      </w:r>
      <w:r w:rsidR="004A3769">
        <w:rPr>
          <w:rFonts w:ascii="Times New Roman" w:eastAsia="MS Gothic" w:hAnsi="Times New Roman"/>
          <w:sz w:val="20"/>
          <w:szCs w:val="20"/>
        </w:rPr>
        <w:t>АО «ИК «Горизонт»</w:t>
      </w:r>
      <w:r w:rsidR="00C2497C" w:rsidRPr="00996B96">
        <w:rPr>
          <w:rFonts w:ascii="Times New Roman" w:eastAsia="MS Gothic" w:hAnsi="Times New Roman"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A3769" w:rsidRPr="005B5089" w14:paraId="49ADDEC3" w14:textId="77777777" w:rsidTr="00E032F3">
        <w:trPr>
          <w:trHeight w:val="303"/>
        </w:trPr>
        <w:tc>
          <w:tcPr>
            <w:tcW w:w="9498" w:type="dxa"/>
            <w:shd w:val="clear" w:color="auto" w:fill="auto"/>
            <w:vAlign w:val="center"/>
          </w:tcPr>
          <w:p w14:paraId="46104500" w14:textId="41C13F10" w:rsidR="004A3769" w:rsidRPr="00E032F3" w:rsidRDefault="004A3769" w:rsidP="004A3769">
            <w:pPr>
              <w:pStyle w:val="a4"/>
              <w:spacing w:after="0"/>
              <w:ind w:left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E032F3">
              <w:rPr>
                <w:rFonts w:ascii="Times New Roman" w:eastAsia="MS Gothic" w:hAnsi="Times New Roman"/>
                <w:sz w:val="16"/>
                <w:szCs w:val="16"/>
              </w:rPr>
              <w:t xml:space="preserve">Прошу изменить порядок оплаты услуг </w:t>
            </w:r>
            <w:r>
              <w:rPr>
                <w:rFonts w:ascii="Times New Roman" w:eastAsia="MS Gothic" w:hAnsi="Times New Roman"/>
                <w:sz w:val="16"/>
                <w:szCs w:val="16"/>
              </w:rPr>
              <w:t xml:space="preserve">Акционерного общества «Инвестиционная компания «Горизонт» </w:t>
            </w:r>
            <w:r w:rsidRPr="00E032F3">
              <w:rPr>
                <w:rFonts w:ascii="Times New Roman" w:eastAsia="MS Gothic" w:hAnsi="Times New Roman"/>
                <w:sz w:val="16"/>
                <w:szCs w:val="16"/>
              </w:rPr>
              <w:t>как депозитария и возмещения расходов депозитария (</w:t>
            </w:r>
            <w:r w:rsidRPr="00E032F3">
              <w:rPr>
                <w:rFonts w:ascii="Times New Roman" w:eastAsia="MS Gothic" w:hAnsi="Times New Roman"/>
                <w:i/>
                <w:sz w:val="16"/>
                <w:szCs w:val="16"/>
              </w:rPr>
              <w:t xml:space="preserve">по умолчанию </w:t>
            </w:r>
            <w:r w:rsidR="00837838">
              <w:rPr>
                <w:rFonts w:ascii="Times New Roman" w:eastAsia="MS Gothic" w:hAnsi="Times New Roman"/>
                <w:i/>
                <w:sz w:val="16"/>
                <w:szCs w:val="16"/>
              </w:rPr>
              <w:t>приоритетным является</w:t>
            </w:r>
            <w:r w:rsidRPr="00E032F3">
              <w:rPr>
                <w:rFonts w:ascii="Times New Roman" w:eastAsia="MS Gothic" w:hAnsi="Times New Roman"/>
                <w:i/>
                <w:sz w:val="16"/>
                <w:szCs w:val="16"/>
              </w:rPr>
              <w:t xml:space="preserve"> вариант </w:t>
            </w:r>
            <w:proofErr w:type="spellStart"/>
            <w:r w:rsidRPr="00E032F3">
              <w:rPr>
                <w:rFonts w:ascii="Times New Roman" w:eastAsia="MS Gothic" w:hAnsi="Times New Roman"/>
                <w:i/>
                <w:sz w:val="16"/>
                <w:szCs w:val="16"/>
              </w:rPr>
              <w:t>безакцепного</w:t>
            </w:r>
            <w:proofErr w:type="spellEnd"/>
            <w:r w:rsidRPr="00E032F3">
              <w:rPr>
                <w:rFonts w:ascii="Times New Roman" w:eastAsia="MS Gothic" w:hAnsi="Times New Roman"/>
                <w:i/>
                <w:sz w:val="16"/>
                <w:szCs w:val="16"/>
              </w:rPr>
              <w:t xml:space="preserve"> списания</w:t>
            </w:r>
            <w:r w:rsidRPr="00E032F3">
              <w:rPr>
                <w:rFonts w:ascii="Times New Roman" w:eastAsia="MS Gothic" w:hAnsi="Times New Roman"/>
                <w:sz w:val="16"/>
                <w:szCs w:val="16"/>
              </w:rPr>
              <w:t>):</w:t>
            </w:r>
          </w:p>
          <w:p w14:paraId="7933DA34" w14:textId="77777777" w:rsidR="004A3769" w:rsidRPr="00E032F3" w:rsidRDefault="004A3769" w:rsidP="004A3769">
            <w:pPr>
              <w:pStyle w:val="a4"/>
              <w:spacing w:after="0"/>
              <w:ind w:left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p w14:paraId="5546E87D" w14:textId="352178E0" w:rsidR="004A3769" w:rsidRPr="00E032F3" w:rsidRDefault="004A3769" w:rsidP="004A3769">
            <w:pPr>
              <w:pStyle w:val="a4"/>
              <w:spacing w:after="0"/>
              <w:ind w:left="0"/>
              <w:jc w:val="both"/>
              <w:rPr>
                <w:rFonts w:ascii="Times New Roman" w:eastAsia="MS Gothic" w:hAnsi="Times New Roman"/>
                <w:i/>
                <w:sz w:val="16"/>
                <w:szCs w:val="16"/>
              </w:rPr>
            </w:pPr>
            <w:r w:rsidRPr="00E032F3">
              <w:rPr>
                <w:rFonts w:ascii="Times New Roman" w:eastAsia="MS Gothic" w:hAnsi="Times New Roman"/>
                <w:i/>
                <w:sz w:val="16"/>
                <w:szCs w:val="16"/>
              </w:rPr>
              <w:t xml:space="preserve">Вариант 1 (используется, если клиент хочет изменить </w:t>
            </w:r>
            <w:r w:rsidR="00837838">
              <w:rPr>
                <w:rFonts w:ascii="Times New Roman" w:eastAsia="MS Gothic" w:hAnsi="Times New Roman"/>
                <w:i/>
                <w:sz w:val="16"/>
                <w:szCs w:val="16"/>
              </w:rPr>
              <w:t>установленный приоритет</w:t>
            </w:r>
            <w:r w:rsidRPr="00E032F3">
              <w:rPr>
                <w:rFonts w:ascii="Times New Roman" w:eastAsia="MS Gothic" w:hAnsi="Times New Roman"/>
                <w:i/>
                <w:sz w:val="16"/>
                <w:szCs w:val="16"/>
              </w:rPr>
              <w:t>):</w:t>
            </w:r>
          </w:p>
          <w:p w14:paraId="1C51D6F5" w14:textId="77777777" w:rsidR="004A3769" w:rsidRPr="00E032F3" w:rsidRDefault="004A3769" w:rsidP="004A3769">
            <w:pPr>
              <w:pStyle w:val="a4"/>
              <w:spacing w:after="0"/>
              <w:ind w:left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</w:p>
          <w:p w14:paraId="0AB03CCA" w14:textId="0B89F2CC" w:rsidR="004A3769" w:rsidRPr="00E032F3" w:rsidRDefault="00652535" w:rsidP="004A3769">
            <w:pPr>
              <w:pStyle w:val="a4"/>
              <w:spacing w:after="0"/>
              <w:ind w:left="0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/>
                  <w:sz w:val="16"/>
                  <w:szCs w:val="16"/>
                </w:rPr>
                <w:id w:val="3322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69" w:rsidRPr="00E032F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69" w:rsidRPr="00E032F3">
              <w:rPr>
                <w:rFonts w:ascii="Times New Roman" w:eastAsia="MS Gothic" w:hAnsi="Times New Roman"/>
                <w:sz w:val="16"/>
                <w:szCs w:val="16"/>
              </w:rPr>
              <w:t xml:space="preserve"> Оплата вознаграждения и возмещения расходов депозитария осуществляется на основании счетов, предоставляемых </w:t>
            </w:r>
            <w:r w:rsidR="004A3769">
              <w:rPr>
                <w:rFonts w:ascii="Times New Roman" w:eastAsia="MS Gothic" w:hAnsi="Times New Roman"/>
                <w:sz w:val="16"/>
                <w:szCs w:val="16"/>
              </w:rPr>
              <w:t>АО «ИК «Горизонт»</w:t>
            </w:r>
          </w:p>
          <w:p w14:paraId="2618C54F" w14:textId="2222C4C4" w:rsidR="004A3769" w:rsidRPr="00E032F3" w:rsidRDefault="004A3769" w:rsidP="004A3769">
            <w:pPr>
              <w:pStyle w:val="Default"/>
              <w:jc w:val="both"/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</w:pPr>
            <w:r w:rsidRPr="00E032F3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 xml:space="preserve">Я ознакомлен и понимаю, что в случае несвоевременной оплаты счетов </w:t>
            </w:r>
            <w:r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АО «ИК «Горизонт»</w:t>
            </w:r>
            <w:r w:rsidRPr="00E032F3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 xml:space="preserve"> вправе осуществить </w:t>
            </w:r>
            <w:proofErr w:type="spellStart"/>
            <w:r w:rsidRPr="00E032F3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безакцептное</w:t>
            </w:r>
            <w:proofErr w:type="spellEnd"/>
            <w:r w:rsidRPr="00E032F3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 xml:space="preserve"> списание сумм, указанных в счетах, </w:t>
            </w:r>
            <w:r w:rsidR="00837838" w:rsidRPr="00837838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из денежных средств клиента, находящихся на специальном брокерском счете</w:t>
            </w:r>
            <w:r w:rsidRPr="00E032F3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.</w:t>
            </w:r>
          </w:p>
          <w:p w14:paraId="1F563CD2" w14:textId="77777777" w:rsidR="004A3769" w:rsidRPr="00E032F3" w:rsidRDefault="004A3769" w:rsidP="004A376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6804F4" w14:textId="77777777" w:rsidR="004A3769" w:rsidRPr="00E032F3" w:rsidRDefault="004A3769" w:rsidP="004A3769">
            <w:pPr>
              <w:pStyle w:val="Default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032F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Вариант 2 </w:t>
            </w:r>
            <w:r w:rsidRPr="00E032F3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 xml:space="preserve">(используется, если клиент хочет вернуться к </w:t>
            </w:r>
            <w:proofErr w:type="spellStart"/>
            <w:r w:rsidRPr="00E032F3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>безакцептному</w:t>
            </w:r>
            <w:proofErr w:type="spellEnd"/>
            <w:r w:rsidRPr="00E032F3">
              <w:rPr>
                <w:rFonts w:ascii="Times New Roman" w:eastAsia="MS Gothic" w:hAnsi="Times New Roman" w:cs="Times New Roman"/>
                <w:i/>
                <w:sz w:val="16"/>
                <w:szCs w:val="16"/>
              </w:rPr>
              <w:t xml:space="preserve"> списанию)</w:t>
            </w:r>
            <w:r w:rsidRPr="00E032F3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  <w:p w14:paraId="1392D51E" w14:textId="77777777" w:rsidR="004A3769" w:rsidRPr="00E032F3" w:rsidRDefault="004A3769" w:rsidP="004A376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069686" w14:textId="6265AFC8" w:rsidR="004A3769" w:rsidRPr="00E032F3" w:rsidRDefault="00652535" w:rsidP="004A376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7052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69" w:rsidRPr="00E032F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3769" w:rsidRPr="00E032F3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Оплата вознаграждения и возмещения расходов депозитария осуществляется </w:t>
            </w:r>
            <w:r w:rsidR="004A3769" w:rsidRPr="00E032F3">
              <w:rPr>
                <w:rFonts w:ascii="Times New Roman" w:eastAsia="MS Gothic" w:hAnsi="Times New Roman" w:cs="Times New Roman"/>
                <w:color w:val="auto"/>
                <w:sz w:val="16"/>
                <w:szCs w:val="16"/>
              </w:rPr>
              <w:t xml:space="preserve">путем </w:t>
            </w:r>
            <w:proofErr w:type="spellStart"/>
            <w:r w:rsidR="004A3769" w:rsidRPr="00E032F3">
              <w:rPr>
                <w:rFonts w:ascii="Times New Roman" w:eastAsia="MS Gothic" w:hAnsi="Times New Roman" w:cs="Times New Roman"/>
                <w:color w:val="auto"/>
                <w:sz w:val="16"/>
                <w:szCs w:val="16"/>
              </w:rPr>
              <w:t>безакцептного</w:t>
            </w:r>
            <w:proofErr w:type="spellEnd"/>
            <w:r w:rsidR="004A3769" w:rsidRPr="00E032F3">
              <w:rPr>
                <w:rFonts w:ascii="Times New Roman" w:eastAsia="MS Gothic" w:hAnsi="Times New Roman" w:cs="Times New Roman"/>
                <w:color w:val="auto"/>
                <w:sz w:val="16"/>
                <w:szCs w:val="16"/>
              </w:rPr>
              <w:t xml:space="preserve"> списания сумм, указанных в счетах, </w:t>
            </w:r>
            <w:r w:rsidR="00837838" w:rsidRPr="00837838">
              <w:rPr>
                <w:rFonts w:ascii="Times New Roman" w:eastAsia="MS Gothic" w:hAnsi="Times New Roman" w:cs="Times New Roman"/>
                <w:color w:val="auto"/>
                <w:sz w:val="16"/>
                <w:szCs w:val="16"/>
              </w:rPr>
              <w:t>из денежных средств клиента, находящихся на специальном брокерском счете</w:t>
            </w:r>
            <w:r w:rsidR="00837838">
              <w:rPr>
                <w:rFonts w:ascii="Times New Roman" w:eastAsia="MS Gothic" w:hAnsi="Times New Roman" w:cs="Times New Roman"/>
                <w:color w:val="auto"/>
                <w:sz w:val="16"/>
                <w:szCs w:val="16"/>
              </w:rPr>
              <w:t>.</w:t>
            </w:r>
          </w:p>
          <w:p w14:paraId="2CD6DB75" w14:textId="32C5F3B8" w:rsidR="004A3769" w:rsidRPr="00D068FC" w:rsidRDefault="004A3769" w:rsidP="00A47905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568269E" w14:textId="77777777" w:rsidR="00782DBE" w:rsidRPr="00D068FC" w:rsidRDefault="00782DBE" w:rsidP="00743667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Gothic" w:hAnsi="Times New Roman"/>
          <w:sz w:val="14"/>
          <w:szCs w:val="14"/>
        </w:rPr>
      </w:pPr>
    </w:p>
    <w:p w14:paraId="1F97DE14" w14:textId="3BAF9CB4" w:rsidR="00D33EB9" w:rsidRPr="00D068FC" w:rsidRDefault="00D33EB9" w:rsidP="004F7165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MS Gothic" w:hAnsi="Times New Roman"/>
          <w:sz w:val="20"/>
          <w:szCs w:val="20"/>
        </w:rPr>
      </w:pPr>
      <w:r w:rsidRPr="00D068FC">
        <w:rPr>
          <w:rFonts w:ascii="Times New Roman" w:eastAsia="MS Gothic" w:hAnsi="Times New Roman"/>
          <w:sz w:val="20"/>
          <w:szCs w:val="20"/>
        </w:rPr>
        <w:t>Подпись</w:t>
      </w:r>
      <w:r w:rsidR="00464A46" w:rsidRPr="00D068FC">
        <w:rPr>
          <w:rFonts w:ascii="Times New Roman" w:eastAsia="MS Gothic" w:hAnsi="Times New Roman"/>
          <w:sz w:val="20"/>
          <w:szCs w:val="20"/>
        </w:rPr>
        <w:t xml:space="preserve"> </w:t>
      </w:r>
      <w:r w:rsidR="00252646">
        <w:rPr>
          <w:rFonts w:ascii="Times New Roman" w:eastAsia="MS Gothic" w:hAnsi="Times New Roman"/>
          <w:sz w:val="20"/>
          <w:szCs w:val="20"/>
        </w:rPr>
        <w:t>К</w:t>
      </w:r>
      <w:r w:rsidR="00464A46" w:rsidRPr="00D068FC">
        <w:rPr>
          <w:rFonts w:ascii="Times New Roman" w:eastAsia="MS Gothic" w:hAnsi="Times New Roman"/>
          <w:sz w:val="20"/>
          <w:szCs w:val="20"/>
        </w:rPr>
        <w:t>лиента (уполномоченного представителя)</w:t>
      </w:r>
      <w:r w:rsidR="005A27F4" w:rsidRPr="00D068FC">
        <w:rPr>
          <w:rFonts w:ascii="Times New Roman" w:eastAsia="MS Gothic" w:hAnsi="Times New Roman"/>
          <w:sz w:val="20"/>
          <w:szCs w:val="20"/>
        </w:rPr>
        <w:t>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5452"/>
        <w:gridCol w:w="3105"/>
      </w:tblGrid>
      <w:tr w:rsidR="00CF7B79" w:rsidRPr="005B5089" w14:paraId="405AC66E" w14:textId="77777777" w:rsidTr="002F5128">
        <w:trPr>
          <w:trHeight w:val="224"/>
        </w:trPr>
        <w:tc>
          <w:tcPr>
            <w:tcW w:w="941" w:type="dxa"/>
            <w:shd w:val="clear" w:color="auto" w:fill="auto"/>
            <w:vAlign w:val="center"/>
          </w:tcPr>
          <w:p w14:paraId="52849CA6" w14:textId="77777777" w:rsidR="00CF7B79" w:rsidRPr="00D068FC" w:rsidRDefault="00CF7B79" w:rsidP="00DE4E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68FC">
              <w:rPr>
                <w:rFonts w:ascii="Times New Roman" w:eastAsia="MS Gothic" w:hAnsi="Times New Roman"/>
                <w:sz w:val="18"/>
                <w:szCs w:val="18"/>
              </w:rPr>
              <w:t>ФИО: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447A6D56" w14:textId="77777777" w:rsidR="00CF7B79" w:rsidRPr="00D068FC" w:rsidRDefault="00CF7B79" w:rsidP="00DE4E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68FC">
              <w:rPr>
                <w:rStyle w:val="a3"/>
                <w:rFonts w:ascii="Times New Roman" w:hAnsi="Times New Roman"/>
                <w:b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068FC">
              <w:rPr>
                <w:rStyle w:val="a3"/>
                <w:rFonts w:ascii="Times New Roman" w:hAnsi="Times New Roman"/>
                <w:b/>
                <w:color w:val="000000"/>
              </w:rPr>
              <w:instrText xml:space="preserve"> FORMTEXT </w:instrText>
            </w:r>
            <w:r w:rsidRPr="00D068FC">
              <w:rPr>
                <w:rStyle w:val="a3"/>
                <w:rFonts w:ascii="Times New Roman" w:hAnsi="Times New Roman"/>
                <w:b/>
                <w:color w:val="000000"/>
              </w:rPr>
            </w:r>
            <w:r w:rsidRPr="00D068FC">
              <w:rPr>
                <w:rStyle w:val="a3"/>
                <w:rFonts w:ascii="Times New Roman" w:hAnsi="Times New Roman"/>
                <w:b/>
                <w:color w:val="000000"/>
              </w:rPr>
              <w:fldChar w:fldCharType="separate"/>
            </w:r>
            <w:r w:rsidRPr="00D068FC">
              <w:rPr>
                <w:rStyle w:val="a3"/>
                <w:rFonts w:ascii="Times New Roman" w:hAnsi="Times New Roman"/>
                <w:b/>
                <w:noProof/>
                <w:color w:val="000000"/>
              </w:rPr>
              <w:t> </w:t>
            </w:r>
            <w:r w:rsidRPr="00D068FC">
              <w:rPr>
                <w:rStyle w:val="a3"/>
                <w:rFonts w:ascii="Times New Roman" w:hAnsi="Times New Roman"/>
                <w:b/>
                <w:noProof/>
                <w:color w:val="000000"/>
              </w:rPr>
              <w:t> </w:t>
            </w:r>
            <w:r w:rsidRPr="00D068FC">
              <w:rPr>
                <w:rStyle w:val="a3"/>
                <w:rFonts w:ascii="Times New Roman" w:hAnsi="Times New Roman"/>
                <w:b/>
                <w:noProof/>
                <w:color w:val="000000"/>
              </w:rPr>
              <w:t> </w:t>
            </w:r>
            <w:r w:rsidRPr="00D068FC">
              <w:rPr>
                <w:rStyle w:val="a3"/>
                <w:rFonts w:ascii="Times New Roman" w:hAnsi="Times New Roman"/>
                <w:b/>
                <w:noProof/>
                <w:color w:val="000000"/>
              </w:rPr>
              <w:t> </w:t>
            </w:r>
            <w:r w:rsidRPr="00D068FC">
              <w:rPr>
                <w:rStyle w:val="a3"/>
                <w:rFonts w:ascii="Times New Roman" w:hAnsi="Times New Roman"/>
                <w:b/>
                <w:noProof/>
                <w:color w:val="000000"/>
              </w:rPr>
              <w:t> </w:t>
            </w:r>
            <w:r w:rsidRPr="00D068FC">
              <w:rPr>
                <w:rStyle w:val="a3"/>
                <w:rFonts w:ascii="Times New Roman" w:hAnsi="Times New Roman"/>
                <w:b/>
                <w:color w:val="000000"/>
              </w:rPr>
              <w:fldChar w:fldCharType="end"/>
            </w:r>
          </w:p>
        </w:tc>
        <w:tc>
          <w:tcPr>
            <w:tcW w:w="3105" w:type="dxa"/>
            <w:vMerge w:val="restart"/>
            <w:shd w:val="clear" w:color="auto" w:fill="auto"/>
            <w:vAlign w:val="bottom"/>
          </w:tcPr>
          <w:p w14:paraId="27C15EB3" w14:textId="583CC45F" w:rsidR="00CF7B79" w:rsidRPr="00D068FC" w:rsidRDefault="00464A46" w:rsidP="00464A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8FC">
              <w:rPr>
                <w:rFonts w:ascii="Times New Roman" w:eastAsia="MS Gothic" w:hAnsi="Times New Roman"/>
                <w:sz w:val="18"/>
                <w:szCs w:val="18"/>
              </w:rPr>
              <w:t>Печать (при наличии)</w:t>
            </w:r>
          </w:p>
        </w:tc>
      </w:tr>
      <w:tr w:rsidR="00CF7B79" w:rsidRPr="005B5089" w14:paraId="7FECB1BF" w14:textId="77777777" w:rsidTr="00530C5D">
        <w:trPr>
          <w:trHeight w:val="70"/>
        </w:trPr>
        <w:tc>
          <w:tcPr>
            <w:tcW w:w="6393" w:type="dxa"/>
            <w:gridSpan w:val="2"/>
            <w:shd w:val="clear" w:color="auto" w:fill="auto"/>
          </w:tcPr>
          <w:p w14:paraId="757B35C9" w14:textId="77777777" w:rsidR="00CF7B79" w:rsidRPr="00D068FC" w:rsidRDefault="00CF7B79" w:rsidP="00DE4EE0">
            <w:pPr>
              <w:spacing w:after="0" w:line="240" w:lineRule="auto"/>
              <w:jc w:val="center"/>
              <w:rPr>
                <w:rFonts w:ascii="Times New Roman" w:eastAsia="MS Gothic" w:hAnsi="Times New Roman"/>
                <w:sz w:val="18"/>
                <w:szCs w:val="18"/>
              </w:rPr>
            </w:pPr>
          </w:p>
          <w:p w14:paraId="12CB5955" w14:textId="77777777" w:rsidR="00CF7B79" w:rsidRPr="00D068FC" w:rsidRDefault="00CF7B79" w:rsidP="00DE4EE0">
            <w:pPr>
              <w:spacing w:after="0" w:line="240" w:lineRule="auto"/>
              <w:jc w:val="center"/>
              <w:rPr>
                <w:rFonts w:ascii="Times New Roman" w:eastAsia="MS Gothic" w:hAnsi="Times New Roman"/>
                <w:sz w:val="18"/>
                <w:szCs w:val="18"/>
              </w:rPr>
            </w:pPr>
          </w:p>
          <w:p w14:paraId="1E2EC85B" w14:textId="77777777" w:rsidR="00CF7B79" w:rsidRPr="00D068FC" w:rsidRDefault="00CF7B79" w:rsidP="00DE4EE0">
            <w:pPr>
              <w:spacing w:after="0" w:line="240" w:lineRule="auto"/>
              <w:jc w:val="center"/>
              <w:rPr>
                <w:rFonts w:ascii="Times New Roman" w:eastAsia="MS Gothic" w:hAnsi="Times New Roman"/>
                <w:sz w:val="18"/>
                <w:szCs w:val="18"/>
              </w:rPr>
            </w:pPr>
          </w:p>
          <w:p w14:paraId="03C90090" w14:textId="77777777" w:rsidR="00CF7B79" w:rsidRPr="00D068FC" w:rsidRDefault="00CF7B79" w:rsidP="00DE4EE0">
            <w:pPr>
              <w:spacing w:after="0" w:line="240" w:lineRule="auto"/>
              <w:jc w:val="center"/>
              <w:rPr>
                <w:rFonts w:ascii="Times New Roman" w:eastAsia="MS Gothic" w:hAnsi="Times New Roman"/>
                <w:sz w:val="18"/>
                <w:szCs w:val="18"/>
              </w:rPr>
            </w:pPr>
          </w:p>
          <w:p w14:paraId="51273BF3" w14:textId="77777777" w:rsidR="00CF7B79" w:rsidRPr="00D068FC" w:rsidRDefault="00CF7B79" w:rsidP="00DE4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8FC">
              <w:rPr>
                <w:rFonts w:ascii="Times New Roman" w:eastAsia="MS Gothic" w:hAnsi="Times New Roman"/>
                <w:sz w:val="18"/>
                <w:szCs w:val="18"/>
              </w:rPr>
              <w:t>Подпись</w:t>
            </w:r>
          </w:p>
        </w:tc>
        <w:tc>
          <w:tcPr>
            <w:tcW w:w="3105" w:type="dxa"/>
            <w:vMerge/>
            <w:shd w:val="clear" w:color="auto" w:fill="auto"/>
          </w:tcPr>
          <w:p w14:paraId="6933B67C" w14:textId="77777777" w:rsidR="00CF7B79" w:rsidRPr="00D068FC" w:rsidRDefault="00CF7B79" w:rsidP="00DE4EE0">
            <w:pPr>
              <w:spacing w:after="0" w:line="240" w:lineRule="auto"/>
              <w:jc w:val="center"/>
              <w:rPr>
                <w:rFonts w:ascii="Times New Roman" w:eastAsia="MS Gothic" w:hAnsi="Times New Roman"/>
                <w:sz w:val="18"/>
                <w:szCs w:val="18"/>
              </w:rPr>
            </w:pPr>
          </w:p>
        </w:tc>
      </w:tr>
    </w:tbl>
    <w:p w14:paraId="366BF282" w14:textId="77777777" w:rsidR="00D33EB9" w:rsidRPr="00D068FC" w:rsidRDefault="00D33EB9" w:rsidP="00D33EB9">
      <w:pPr>
        <w:pStyle w:val="a4"/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58"/>
        <w:gridCol w:w="3601"/>
      </w:tblGrid>
      <w:tr w:rsidR="00415D6D" w:rsidRPr="005B5089" w14:paraId="3DA63789" w14:textId="77777777" w:rsidTr="00415D6D">
        <w:trPr>
          <w:trHeight w:val="139"/>
        </w:trPr>
        <w:tc>
          <w:tcPr>
            <w:tcW w:w="9517" w:type="dxa"/>
            <w:gridSpan w:val="3"/>
            <w:shd w:val="clear" w:color="auto" w:fill="auto"/>
            <w:vAlign w:val="center"/>
          </w:tcPr>
          <w:p w14:paraId="66434475" w14:textId="198D5F33" w:rsidR="00415D6D" w:rsidRPr="00D068FC" w:rsidRDefault="00467696" w:rsidP="00415D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8FC">
              <w:rPr>
                <w:rFonts w:ascii="Times New Roman" w:hAnsi="Times New Roman"/>
                <w:b/>
                <w:i/>
                <w:sz w:val="16"/>
                <w:szCs w:val="16"/>
              </w:rPr>
              <w:t>Зарегистрировано:</w:t>
            </w:r>
            <w:r w:rsidR="00415D6D" w:rsidRPr="00D068FC">
              <w:rPr>
                <w:rFonts w:ascii="Times New Roman" w:hAnsi="Times New Roman"/>
                <w:i/>
                <w:sz w:val="16"/>
                <w:szCs w:val="16"/>
              </w:rPr>
              <w:t xml:space="preserve"> (заполняется сотрудником Компании)</w:t>
            </w:r>
          </w:p>
        </w:tc>
      </w:tr>
      <w:tr w:rsidR="00D33EB9" w:rsidRPr="005B5089" w14:paraId="5198476E" w14:textId="77777777" w:rsidTr="00CF7B79">
        <w:trPr>
          <w:trHeight w:val="739"/>
        </w:trPr>
        <w:tc>
          <w:tcPr>
            <w:tcW w:w="2958" w:type="dxa"/>
            <w:shd w:val="clear" w:color="auto" w:fill="auto"/>
            <w:vAlign w:val="center"/>
          </w:tcPr>
          <w:p w14:paraId="2CAD665A" w14:textId="77777777" w:rsidR="00D33EB9" w:rsidRPr="00D068FC" w:rsidRDefault="00D33EB9" w:rsidP="00DE4E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133C4D89" w14:textId="77777777" w:rsidR="00D33EB9" w:rsidRPr="00D068FC" w:rsidRDefault="00D33EB9" w:rsidP="00DE4E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B773526" w14:textId="77777777" w:rsidR="00D33EB9" w:rsidRPr="00D068FC" w:rsidRDefault="00D33EB9" w:rsidP="00DE4E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3EA501" w14:textId="77777777" w:rsidR="00D33EB9" w:rsidRPr="00D068FC" w:rsidRDefault="00D33EB9" w:rsidP="00DE4E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94D0C07" w14:textId="77777777" w:rsidR="00D33EB9" w:rsidRPr="00D068FC" w:rsidRDefault="00D33EB9" w:rsidP="00DE4E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 w14:paraId="5BD33B56" w14:textId="77777777" w:rsidR="00D33EB9" w:rsidRPr="00D068FC" w:rsidRDefault="00D33EB9" w:rsidP="00DE4E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33EB9" w:rsidRPr="005B5089" w14:paraId="6FBFD086" w14:textId="77777777" w:rsidTr="00D33EB9">
        <w:trPr>
          <w:trHeight w:val="210"/>
        </w:trPr>
        <w:tc>
          <w:tcPr>
            <w:tcW w:w="2958" w:type="dxa"/>
            <w:shd w:val="clear" w:color="auto" w:fill="auto"/>
            <w:vAlign w:val="center"/>
          </w:tcPr>
          <w:p w14:paraId="59F92418" w14:textId="77777777" w:rsidR="00D33EB9" w:rsidRPr="00D068FC" w:rsidRDefault="00D33EB9" w:rsidP="00DE4EE0">
            <w:pPr>
              <w:spacing w:after="0" w:line="240" w:lineRule="auto"/>
              <w:jc w:val="center"/>
              <w:rPr>
                <w:rFonts w:ascii="Times New Roman" w:eastAsia="MS Gothic" w:hAnsi="Times New Roman"/>
                <w:i/>
                <w:sz w:val="18"/>
                <w:szCs w:val="18"/>
              </w:rPr>
            </w:pPr>
            <w:r w:rsidRPr="00D068FC">
              <w:rPr>
                <w:rFonts w:ascii="Times New Roman" w:eastAsia="MS Gothic" w:hAnsi="Times New Roman"/>
                <w:i/>
                <w:sz w:val="18"/>
                <w:szCs w:val="18"/>
              </w:rPr>
              <w:t>Дата и время регистрации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45EAA474" w14:textId="77777777" w:rsidR="00D33EB9" w:rsidRPr="00D068FC" w:rsidRDefault="00D33EB9" w:rsidP="00DE4EE0">
            <w:pPr>
              <w:spacing w:after="0" w:line="240" w:lineRule="auto"/>
              <w:jc w:val="center"/>
              <w:rPr>
                <w:rFonts w:ascii="Times New Roman" w:eastAsia="MS Gothic" w:hAnsi="Times New Roman"/>
                <w:i/>
                <w:sz w:val="18"/>
                <w:szCs w:val="18"/>
              </w:rPr>
            </w:pPr>
            <w:r w:rsidRPr="00D068FC">
              <w:rPr>
                <w:rFonts w:ascii="Times New Roman" w:eastAsia="MS Gothic" w:hAnsi="Times New Roman"/>
                <w:i/>
                <w:sz w:val="18"/>
                <w:szCs w:val="18"/>
              </w:rPr>
              <w:t>ФИО сотрудника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55B3DA05" w14:textId="77777777" w:rsidR="00D33EB9" w:rsidRPr="00D068FC" w:rsidRDefault="00D33EB9" w:rsidP="00DE4EE0">
            <w:pPr>
              <w:spacing w:after="0" w:line="240" w:lineRule="auto"/>
              <w:jc w:val="center"/>
              <w:rPr>
                <w:rFonts w:ascii="Times New Roman" w:eastAsia="MS Gothic" w:hAnsi="Times New Roman"/>
                <w:i/>
                <w:sz w:val="18"/>
                <w:szCs w:val="18"/>
              </w:rPr>
            </w:pPr>
            <w:r w:rsidRPr="00D068FC">
              <w:rPr>
                <w:rFonts w:ascii="Times New Roman" w:eastAsia="MS Gothic" w:hAnsi="Times New Roman"/>
                <w:i/>
                <w:sz w:val="18"/>
                <w:szCs w:val="18"/>
              </w:rPr>
              <w:t>Подпись</w:t>
            </w:r>
          </w:p>
        </w:tc>
      </w:tr>
    </w:tbl>
    <w:p w14:paraId="2CAF954C" w14:textId="77777777" w:rsidR="00267B82" w:rsidRPr="00D068FC" w:rsidRDefault="00267B82" w:rsidP="00C75CC7">
      <w:pPr>
        <w:rPr>
          <w:rFonts w:ascii="Times New Roman" w:hAnsi="Times New Roman"/>
        </w:rPr>
      </w:pPr>
    </w:p>
    <w:sectPr w:rsidR="00267B82" w:rsidRPr="00D068FC" w:rsidSect="00BA3898">
      <w:footnotePr>
        <w:pos w:val="beneathText"/>
        <w:numRestart w:val="eachSect"/>
      </w:footnotePr>
      <w:endnotePr>
        <w:numFmt w:val="decimal"/>
      </w:endnotePr>
      <w:pgSz w:w="11906" w:h="16838"/>
      <w:pgMar w:top="568" w:right="850" w:bottom="1134" w:left="1701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8AF320" w16cex:dateUtc="2024-09-10T13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CF418" w14:textId="77777777" w:rsidR="00652535" w:rsidRDefault="00652535" w:rsidP="00BA3898">
      <w:pPr>
        <w:spacing w:after="0" w:line="240" w:lineRule="auto"/>
      </w:pPr>
      <w:r>
        <w:separator/>
      </w:r>
    </w:p>
  </w:endnote>
  <w:endnote w:type="continuationSeparator" w:id="0">
    <w:p w14:paraId="31AAE057" w14:textId="77777777" w:rsidR="00652535" w:rsidRDefault="00652535" w:rsidP="00BA3898">
      <w:pPr>
        <w:spacing w:after="0" w:line="240" w:lineRule="auto"/>
      </w:pPr>
      <w:r>
        <w:continuationSeparator/>
      </w:r>
    </w:p>
  </w:endnote>
  <w:endnote w:id="1">
    <w:p w14:paraId="61E95744" w14:textId="71A32F52" w:rsidR="005E421E" w:rsidRDefault="005E421E">
      <w:pPr>
        <w:pStyle w:val="af3"/>
      </w:pPr>
      <w:r w:rsidRPr="00E60EF3">
        <w:rPr>
          <w:rStyle w:val="af5"/>
          <w:rFonts w:ascii="Times New Roman" w:hAnsi="Times New Roman"/>
          <w:sz w:val="14"/>
          <w:szCs w:val="14"/>
        </w:rPr>
        <w:endnoteRef/>
      </w:r>
      <w:r w:rsidRPr="00E60EF3">
        <w:rPr>
          <w:rStyle w:val="af5"/>
          <w:rFonts w:ascii="Times New Roman" w:hAnsi="Times New Roman"/>
          <w:sz w:val="14"/>
          <w:szCs w:val="14"/>
        </w:rPr>
        <w:t xml:space="preserve"> </w:t>
      </w:r>
      <w:r w:rsidRPr="00E60EF3">
        <w:rPr>
          <w:rFonts w:ascii="Times New Roman" w:hAnsi="Times New Roman"/>
          <w:sz w:val="14"/>
          <w:szCs w:val="14"/>
        </w:rPr>
        <w:t>Возможность совершения сделок (заключения договоров) на срочном рынке ПАО Московская Биржа предоставляется Клиентам, заявившим о предоставлении им возможности совершения необеспеченных сделок.</w:t>
      </w:r>
    </w:p>
  </w:endnote>
  <w:endnote w:id="2">
    <w:p w14:paraId="00DCF795" w14:textId="48EECFBC" w:rsidR="00E1097E" w:rsidRPr="00D068FC" w:rsidRDefault="00E1097E" w:rsidP="00736805">
      <w:pPr>
        <w:pStyle w:val="af3"/>
        <w:jc w:val="both"/>
        <w:rPr>
          <w:rFonts w:ascii="Times New Roman" w:hAnsi="Times New Roman"/>
          <w:sz w:val="14"/>
          <w:szCs w:val="14"/>
        </w:rPr>
      </w:pPr>
      <w:r w:rsidRPr="00D068FC">
        <w:rPr>
          <w:rStyle w:val="af5"/>
          <w:rFonts w:ascii="Times New Roman" w:hAnsi="Times New Roman"/>
          <w:sz w:val="14"/>
          <w:szCs w:val="14"/>
        </w:rPr>
        <w:endnoteRef/>
      </w:r>
      <w:r w:rsidRPr="00D068FC">
        <w:rPr>
          <w:rFonts w:ascii="Times New Roman" w:hAnsi="Times New Roman"/>
          <w:sz w:val="14"/>
          <w:szCs w:val="14"/>
        </w:rPr>
        <w:t xml:space="preserve"> Подача поручений на совершение сделок с драгоценными металлами не доступна клиентам, Договор о брокерском обслуживании с которыми предусматривает открытие и ведение индивидуального инвестиционного счета.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EAD57" w14:textId="77777777" w:rsidR="00652535" w:rsidRDefault="00652535" w:rsidP="00BA3898">
      <w:pPr>
        <w:spacing w:after="0" w:line="240" w:lineRule="auto"/>
      </w:pPr>
      <w:r>
        <w:separator/>
      </w:r>
    </w:p>
  </w:footnote>
  <w:footnote w:type="continuationSeparator" w:id="0">
    <w:p w14:paraId="712C755B" w14:textId="77777777" w:rsidR="00652535" w:rsidRDefault="00652535" w:rsidP="00BA3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5E0"/>
    <w:multiLevelType w:val="hybridMultilevel"/>
    <w:tmpl w:val="AF98DB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EEB"/>
    <w:multiLevelType w:val="hybridMultilevel"/>
    <w:tmpl w:val="641C1D10"/>
    <w:lvl w:ilvl="0" w:tplc="3C609CE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F500E"/>
    <w:multiLevelType w:val="multilevel"/>
    <w:tmpl w:val="E402B1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B378DC"/>
    <w:multiLevelType w:val="multilevel"/>
    <w:tmpl w:val="EBC8FFD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920A62"/>
    <w:multiLevelType w:val="hybridMultilevel"/>
    <w:tmpl w:val="F2148CCC"/>
    <w:lvl w:ilvl="0" w:tplc="0B0C50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925EA"/>
    <w:multiLevelType w:val="multilevel"/>
    <w:tmpl w:val="802A4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8E548AF"/>
    <w:multiLevelType w:val="hybridMultilevel"/>
    <w:tmpl w:val="2402D7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2439C5"/>
    <w:multiLevelType w:val="hybridMultilevel"/>
    <w:tmpl w:val="4052E9EA"/>
    <w:lvl w:ilvl="0" w:tplc="ABE4F824">
      <w:start w:val="1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 w15:restartNumberingAfterBreak="0">
    <w:nsid w:val="23441436"/>
    <w:multiLevelType w:val="hybridMultilevel"/>
    <w:tmpl w:val="05B8AFCE"/>
    <w:lvl w:ilvl="0" w:tplc="199CC64C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385C96"/>
    <w:multiLevelType w:val="hybridMultilevel"/>
    <w:tmpl w:val="6D90A47C"/>
    <w:lvl w:ilvl="0" w:tplc="C6CAA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D1436"/>
    <w:multiLevelType w:val="hybridMultilevel"/>
    <w:tmpl w:val="3490CF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61F84"/>
    <w:multiLevelType w:val="hybridMultilevel"/>
    <w:tmpl w:val="8BD297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4146C"/>
    <w:multiLevelType w:val="hybridMultilevel"/>
    <w:tmpl w:val="34C269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561FD1"/>
    <w:multiLevelType w:val="hybridMultilevel"/>
    <w:tmpl w:val="6D90A47C"/>
    <w:lvl w:ilvl="0" w:tplc="C6CAA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7174A"/>
    <w:multiLevelType w:val="hybridMultilevel"/>
    <w:tmpl w:val="576E89EA"/>
    <w:lvl w:ilvl="0" w:tplc="863C1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231B8"/>
    <w:multiLevelType w:val="hybridMultilevel"/>
    <w:tmpl w:val="3BE29A86"/>
    <w:lvl w:ilvl="0" w:tplc="A9E8A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E4E6A"/>
    <w:multiLevelType w:val="multilevel"/>
    <w:tmpl w:val="1598D9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D8D474F"/>
    <w:multiLevelType w:val="multilevel"/>
    <w:tmpl w:val="B30089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73640D0B"/>
    <w:multiLevelType w:val="hybridMultilevel"/>
    <w:tmpl w:val="6D90A47C"/>
    <w:lvl w:ilvl="0" w:tplc="C6CAA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651F7"/>
    <w:multiLevelType w:val="multilevel"/>
    <w:tmpl w:val="59C8D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C2433DD"/>
    <w:multiLevelType w:val="multilevel"/>
    <w:tmpl w:val="DF0C68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D503C2D"/>
    <w:multiLevelType w:val="multilevel"/>
    <w:tmpl w:val="75A0F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12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1"/>
  </w:num>
  <w:num w:numId="14">
    <w:abstractNumId w:val="19"/>
  </w:num>
  <w:num w:numId="15">
    <w:abstractNumId w:val="21"/>
  </w:num>
  <w:num w:numId="16">
    <w:abstractNumId w:val="16"/>
  </w:num>
  <w:num w:numId="17">
    <w:abstractNumId w:val="13"/>
  </w:num>
  <w:num w:numId="18">
    <w:abstractNumId w:val="5"/>
  </w:num>
  <w:num w:numId="19">
    <w:abstractNumId w:val="2"/>
  </w:num>
  <w:num w:numId="20">
    <w:abstractNumId w:val="17"/>
  </w:num>
  <w:num w:numId="21">
    <w:abstractNumId w:val="14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trackRevisions/>
  <w:defaultTabStop w:val="708"/>
  <w:characterSpacingControl w:val="doNotCompress"/>
  <w:footnotePr>
    <w:pos w:val="beneathText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45"/>
    <w:rsid w:val="0001185A"/>
    <w:rsid w:val="00013CF7"/>
    <w:rsid w:val="00015958"/>
    <w:rsid w:val="00020683"/>
    <w:rsid w:val="000235D1"/>
    <w:rsid w:val="00027AAE"/>
    <w:rsid w:val="00032B5D"/>
    <w:rsid w:val="00036243"/>
    <w:rsid w:val="00037707"/>
    <w:rsid w:val="00042C00"/>
    <w:rsid w:val="000458B1"/>
    <w:rsid w:val="00045C5E"/>
    <w:rsid w:val="000567F1"/>
    <w:rsid w:val="00060C3B"/>
    <w:rsid w:val="00062CA9"/>
    <w:rsid w:val="0006456E"/>
    <w:rsid w:val="00075164"/>
    <w:rsid w:val="000811C2"/>
    <w:rsid w:val="000A0F54"/>
    <w:rsid w:val="000A51F0"/>
    <w:rsid w:val="000B3A95"/>
    <w:rsid w:val="000B5414"/>
    <w:rsid w:val="000B6B66"/>
    <w:rsid w:val="000C4E43"/>
    <w:rsid w:val="000E64AA"/>
    <w:rsid w:val="000E6882"/>
    <w:rsid w:val="000F0028"/>
    <w:rsid w:val="00102031"/>
    <w:rsid w:val="001058DE"/>
    <w:rsid w:val="00110709"/>
    <w:rsid w:val="00112F78"/>
    <w:rsid w:val="0011616E"/>
    <w:rsid w:val="001246EF"/>
    <w:rsid w:val="00125470"/>
    <w:rsid w:val="0013457B"/>
    <w:rsid w:val="00143159"/>
    <w:rsid w:val="00143DBA"/>
    <w:rsid w:val="00144D05"/>
    <w:rsid w:val="001450B1"/>
    <w:rsid w:val="0014531C"/>
    <w:rsid w:val="00151876"/>
    <w:rsid w:val="00151C38"/>
    <w:rsid w:val="00170D72"/>
    <w:rsid w:val="001711E8"/>
    <w:rsid w:val="001775BE"/>
    <w:rsid w:val="001802CD"/>
    <w:rsid w:val="001853C3"/>
    <w:rsid w:val="00195DC9"/>
    <w:rsid w:val="001A1AE3"/>
    <w:rsid w:val="001B3A08"/>
    <w:rsid w:val="001C4AC9"/>
    <w:rsid w:val="001D2661"/>
    <w:rsid w:val="001D5BD2"/>
    <w:rsid w:val="001E21A4"/>
    <w:rsid w:val="001E5B33"/>
    <w:rsid w:val="001E6622"/>
    <w:rsid w:val="001F6474"/>
    <w:rsid w:val="002039BD"/>
    <w:rsid w:val="00211091"/>
    <w:rsid w:val="00212278"/>
    <w:rsid w:val="002124E5"/>
    <w:rsid w:val="002147F4"/>
    <w:rsid w:val="0022081C"/>
    <w:rsid w:val="002233FB"/>
    <w:rsid w:val="00223579"/>
    <w:rsid w:val="002251E8"/>
    <w:rsid w:val="00232731"/>
    <w:rsid w:val="002335BB"/>
    <w:rsid w:val="00240F35"/>
    <w:rsid w:val="00246268"/>
    <w:rsid w:val="00246E4D"/>
    <w:rsid w:val="00252646"/>
    <w:rsid w:val="002665DA"/>
    <w:rsid w:val="00267B82"/>
    <w:rsid w:val="002700C8"/>
    <w:rsid w:val="00272A68"/>
    <w:rsid w:val="00273416"/>
    <w:rsid w:val="00277B0A"/>
    <w:rsid w:val="00283D1B"/>
    <w:rsid w:val="00284CDA"/>
    <w:rsid w:val="00287243"/>
    <w:rsid w:val="00291322"/>
    <w:rsid w:val="00294FD3"/>
    <w:rsid w:val="002A4D7E"/>
    <w:rsid w:val="002B54F9"/>
    <w:rsid w:val="002B5553"/>
    <w:rsid w:val="002B6542"/>
    <w:rsid w:val="002B6809"/>
    <w:rsid w:val="002C1386"/>
    <w:rsid w:val="002C29B2"/>
    <w:rsid w:val="002D1365"/>
    <w:rsid w:val="002D514A"/>
    <w:rsid w:val="002E1077"/>
    <w:rsid w:val="002E431B"/>
    <w:rsid w:val="002E6071"/>
    <w:rsid w:val="002F0FC0"/>
    <w:rsid w:val="002F122D"/>
    <w:rsid w:val="002F4CF6"/>
    <w:rsid w:val="002F5128"/>
    <w:rsid w:val="002F6BCC"/>
    <w:rsid w:val="00302755"/>
    <w:rsid w:val="00310DB4"/>
    <w:rsid w:val="00315602"/>
    <w:rsid w:val="00316670"/>
    <w:rsid w:val="00316A9C"/>
    <w:rsid w:val="00320840"/>
    <w:rsid w:val="00320AB1"/>
    <w:rsid w:val="00326F11"/>
    <w:rsid w:val="00330C3C"/>
    <w:rsid w:val="00331D50"/>
    <w:rsid w:val="00334FFD"/>
    <w:rsid w:val="00335A08"/>
    <w:rsid w:val="00341206"/>
    <w:rsid w:val="0034228B"/>
    <w:rsid w:val="00342B60"/>
    <w:rsid w:val="00343637"/>
    <w:rsid w:val="00352258"/>
    <w:rsid w:val="00352AFF"/>
    <w:rsid w:val="00357975"/>
    <w:rsid w:val="00364720"/>
    <w:rsid w:val="003729EC"/>
    <w:rsid w:val="003756D0"/>
    <w:rsid w:val="00375C57"/>
    <w:rsid w:val="00375EB7"/>
    <w:rsid w:val="00381782"/>
    <w:rsid w:val="00385222"/>
    <w:rsid w:val="003A3680"/>
    <w:rsid w:val="003A4741"/>
    <w:rsid w:val="003A532E"/>
    <w:rsid w:val="003A5AE3"/>
    <w:rsid w:val="003A7D53"/>
    <w:rsid w:val="003A7FD0"/>
    <w:rsid w:val="003B2064"/>
    <w:rsid w:val="003B4C4C"/>
    <w:rsid w:val="003B66D2"/>
    <w:rsid w:val="003B7802"/>
    <w:rsid w:val="003C4F99"/>
    <w:rsid w:val="003C783E"/>
    <w:rsid w:val="003D620B"/>
    <w:rsid w:val="003E09CC"/>
    <w:rsid w:val="003E4ABA"/>
    <w:rsid w:val="003E58EE"/>
    <w:rsid w:val="003E68E6"/>
    <w:rsid w:val="003F3B6A"/>
    <w:rsid w:val="003F4A43"/>
    <w:rsid w:val="003F5628"/>
    <w:rsid w:val="00415846"/>
    <w:rsid w:val="00415D6D"/>
    <w:rsid w:val="004208C2"/>
    <w:rsid w:val="0042136B"/>
    <w:rsid w:val="00422EDC"/>
    <w:rsid w:val="004403BD"/>
    <w:rsid w:val="004546F6"/>
    <w:rsid w:val="00462508"/>
    <w:rsid w:val="00462764"/>
    <w:rsid w:val="00463712"/>
    <w:rsid w:val="00464A46"/>
    <w:rsid w:val="00467696"/>
    <w:rsid w:val="004704F8"/>
    <w:rsid w:val="004758A3"/>
    <w:rsid w:val="00477B81"/>
    <w:rsid w:val="0048068B"/>
    <w:rsid w:val="00484271"/>
    <w:rsid w:val="0048556E"/>
    <w:rsid w:val="00487FD8"/>
    <w:rsid w:val="00497D3A"/>
    <w:rsid w:val="004A01DC"/>
    <w:rsid w:val="004A100A"/>
    <w:rsid w:val="004A3769"/>
    <w:rsid w:val="004C06FB"/>
    <w:rsid w:val="004C1417"/>
    <w:rsid w:val="004C3F47"/>
    <w:rsid w:val="004C5866"/>
    <w:rsid w:val="004C5BED"/>
    <w:rsid w:val="004E2DB3"/>
    <w:rsid w:val="004E7958"/>
    <w:rsid w:val="004F37E4"/>
    <w:rsid w:val="004F3ACF"/>
    <w:rsid w:val="004F7165"/>
    <w:rsid w:val="00500A57"/>
    <w:rsid w:val="00505695"/>
    <w:rsid w:val="005072D9"/>
    <w:rsid w:val="00510ED6"/>
    <w:rsid w:val="005277C8"/>
    <w:rsid w:val="00527CC0"/>
    <w:rsid w:val="00530C5D"/>
    <w:rsid w:val="005433A7"/>
    <w:rsid w:val="00546E60"/>
    <w:rsid w:val="005517D0"/>
    <w:rsid w:val="00555691"/>
    <w:rsid w:val="00561908"/>
    <w:rsid w:val="005703C7"/>
    <w:rsid w:val="0057458C"/>
    <w:rsid w:val="00574625"/>
    <w:rsid w:val="005763D5"/>
    <w:rsid w:val="00576B10"/>
    <w:rsid w:val="0059479E"/>
    <w:rsid w:val="005A27F4"/>
    <w:rsid w:val="005A78A6"/>
    <w:rsid w:val="005B5089"/>
    <w:rsid w:val="005B57F0"/>
    <w:rsid w:val="005C047A"/>
    <w:rsid w:val="005C3BD9"/>
    <w:rsid w:val="005D0EA1"/>
    <w:rsid w:val="005D29C0"/>
    <w:rsid w:val="005D7D54"/>
    <w:rsid w:val="005E0A62"/>
    <w:rsid w:val="005E421E"/>
    <w:rsid w:val="006012E3"/>
    <w:rsid w:val="00601B9E"/>
    <w:rsid w:val="00603E71"/>
    <w:rsid w:val="00607F94"/>
    <w:rsid w:val="0061158F"/>
    <w:rsid w:val="00616A0C"/>
    <w:rsid w:val="00620F69"/>
    <w:rsid w:val="0062353E"/>
    <w:rsid w:val="0062516F"/>
    <w:rsid w:val="00627307"/>
    <w:rsid w:val="0063069B"/>
    <w:rsid w:val="00630886"/>
    <w:rsid w:val="00631E0D"/>
    <w:rsid w:val="00640588"/>
    <w:rsid w:val="00640B6B"/>
    <w:rsid w:val="00644152"/>
    <w:rsid w:val="00645E29"/>
    <w:rsid w:val="00647B2F"/>
    <w:rsid w:val="00652535"/>
    <w:rsid w:val="00662545"/>
    <w:rsid w:val="00662D15"/>
    <w:rsid w:val="00677CA4"/>
    <w:rsid w:val="00680F02"/>
    <w:rsid w:val="00681429"/>
    <w:rsid w:val="0068177D"/>
    <w:rsid w:val="00682179"/>
    <w:rsid w:val="00683939"/>
    <w:rsid w:val="00695B4E"/>
    <w:rsid w:val="006A19E6"/>
    <w:rsid w:val="006A5A75"/>
    <w:rsid w:val="006B046E"/>
    <w:rsid w:val="006B24A3"/>
    <w:rsid w:val="006B3977"/>
    <w:rsid w:val="006B3C72"/>
    <w:rsid w:val="006B3ED7"/>
    <w:rsid w:val="006B711E"/>
    <w:rsid w:val="006C1A9F"/>
    <w:rsid w:val="006C2825"/>
    <w:rsid w:val="006C75C3"/>
    <w:rsid w:val="006C7B34"/>
    <w:rsid w:val="006D0722"/>
    <w:rsid w:val="006D4BDD"/>
    <w:rsid w:val="006E3464"/>
    <w:rsid w:val="006E55BB"/>
    <w:rsid w:val="006E7F6E"/>
    <w:rsid w:val="006F1629"/>
    <w:rsid w:val="006F771C"/>
    <w:rsid w:val="0070771A"/>
    <w:rsid w:val="00723263"/>
    <w:rsid w:val="00731D7C"/>
    <w:rsid w:val="00732671"/>
    <w:rsid w:val="00736805"/>
    <w:rsid w:val="00743667"/>
    <w:rsid w:val="00756C1D"/>
    <w:rsid w:val="00757746"/>
    <w:rsid w:val="00760E9A"/>
    <w:rsid w:val="00762E99"/>
    <w:rsid w:val="0076622A"/>
    <w:rsid w:val="00770E18"/>
    <w:rsid w:val="0077289F"/>
    <w:rsid w:val="00780195"/>
    <w:rsid w:val="00782DBE"/>
    <w:rsid w:val="007855B5"/>
    <w:rsid w:val="00797556"/>
    <w:rsid w:val="007B2D4F"/>
    <w:rsid w:val="007C0233"/>
    <w:rsid w:val="007C4D3F"/>
    <w:rsid w:val="007C7694"/>
    <w:rsid w:val="007D2F9B"/>
    <w:rsid w:val="007D4498"/>
    <w:rsid w:val="007D6B82"/>
    <w:rsid w:val="007E73C5"/>
    <w:rsid w:val="007E7937"/>
    <w:rsid w:val="007F05E4"/>
    <w:rsid w:val="00804907"/>
    <w:rsid w:val="0080670A"/>
    <w:rsid w:val="00824D6D"/>
    <w:rsid w:val="008258CB"/>
    <w:rsid w:val="00831BCF"/>
    <w:rsid w:val="00834FC8"/>
    <w:rsid w:val="00835DE6"/>
    <w:rsid w:val="008372DA"/>
    <w:rsid w:val="00837649"/>
    <w:rsid w:val="00837838"/>
    <w:rsid w:val="00840998"/>
    <w:rsid w:val="00843AB3"/>
    <w:rsid w:val="00844C9F"/>
    <w:rsid w:val="00852282"/>
    <w:rsid w:val="00861797"/>
    <w:rsid w:val="00863FA9"/>
    <w:rsid w:val="00866668"/>
    <w:rsid w:val="008710EE"/>
    <w:rsid w:val="00874C76"/>
    <w:rsid w:val="0089017F"/>
    <w:rsid w:val="00897703"/>
    <w:rsid w:val="008A5709"/>
    <w:rsid w:val="008B05B2"/>
    <w:rsid w:val="008B6289"/>
    <w:rsid w:val="008D0AEE"/>
    <w:rsid w:val="008D6C8B"/>
    <w:rsid w:val="008D7F11"/>
    <w:rsid w:val="008E01E6"/>
    <w:rsid w:val="008E2AA2"/>
    <w:rsid w:val="008E3F19"/>
    <w:rsid w:val="008E7B56"/>
    <w:rsid w:val="008F0782"/>
    <w:rsid w:val="008F083E"/>
    <w:rsid w:val="008F25C8"/>
    <w:rsid w:val="008F3CAB"/>
    <w:rsid w:val="008F49DE"/>
    <w:rsid w:val="009029BB"/>
    <w:rsid w:val="00905379"/>
    <w:rsid w:val="009102ED"/>
    <w:rsid w:val="00911D04"/>
    <w:rsid w:val="00924381"/>
    <w:rsid w:val="00931451"/>
    <w:rsid w:val="009455D0"/>
    <w:rsid w:val="00951DDF"/>
    <w:rsid w:val="009521C4"/>
    <w:rsid w:val="00963B5C"/>
    <w:rsid w:val="0096788C"/>
    <w:rsid w:val="00972176"/>
    <w:rsid w:val="00974F4B"/>
    <w:rsid w:val="00974FCE"/>
    <w:rsid w:val="00975252"/>
    <w:rsid w:val="00981A6D"/>
    <w:rsid w:val="00983688"/>
    <w:rsid w:val="00983D7F"/>
    <w:rsid w:val="0099572F"/>
    <w:rsid w:val="00996B96"/>
    <w:rsid w:val="009A4333"/>
    <w:rsid w:val="009A71EE"/>
    <w:rsid w:val="009B1346"/>
    <w:rsid w:val="009B5887"/>
    <w:rsid w:val="009D2AB9"/>
    <w:rsid w:val="009D7300"/>
    <w:rsid w:val="009E33AC"/>
    <w:rsid w:val="009E5DE9"/>
    <w:rsid w:val="00A020C4"/>
    <w:rsid w:val="00A06D4A"/>
    <w:rsid w:val="00A1414D"/>
    <w:rsid w:val="00A1583E"/>
    <w:rsid w:val="00A25C61"/>
    <w:rsid w:val="00A266B1"/>
    <w:rsid w:val="00A34860"/>
    <w:rsid w:val="00A36BAF"/>
    <w:rsid w:val="00A41E07"/>
    <w:rsid w:val="00A45751"/>
    <w:rsid w:val="00A4586A"/>
    <w:rsid w:val="00A47905"/>
    <w:rsid w:val="00A6394D"/>
    <w:rsid w:val="00A64A1F"/>
    <w:rsid w:val="00A73BA4"/>
    <w:rsid w:val="00A82807"/>
    <w:rsid w:val="00A846A7"/>
    <w:rsid w:val="00A87F62"/>
    <w:rsid w:val="00A910F6"/>
    <w:rsid w:val="00A92FCA"/>
    <w:rsid w:val="00AA37EF"/>
    <w:rsid w:val="00AA3BD9"/>
    <w:rsid w:val="00AB4E07"/>
    <w:rsid w:val="00AC4F43"/>
    <w:rsid w:val="00AC7535"/>
    <w:rsid w:val="00AE1FF4"/>
    <w:rsid w:val="00AE323B"/>
    <w:rsid w:val="00AE5D34"/>
    <w:rsid w:val="00AF24B8"/>
    <w:rsid w:val="00AF3159"/>
    <w:rsid w:val="00AF62A3"/>
    <w:rsid w:val="00B021F4"/>
    <w:rsid w:val="00B13AF2"/>
    <w:rsid w:val="00B1669B"/>
    <w:rsid w:val="00B16F4A"/>
    <w:rsid w:val="00B21960"/>
    <w:rsid w:val="00B3132B"/>
    <w:rsid w:val="00B352BC"/>
    <w:rsid w:val="00B43988"/>
    <w:rsid w:val="00B61FBE"/>
    <w:rsid w:val="00B63749"/>
    <w:rsid w:val="00B74268"/>
    <w:rsid w:val="00B74647"/>
    <w:rsid w:val="00B818F0"/>
    <w:rsid w:val="00B83401"/>
    <w:rsid w:val="00BA3019"/>
    <w:rsid w:val="00BA3898"/>
    <w:rsid w:val="00BA594B"/>
    <w:rsid w:val="00BC0DC8"/>
    <w:rsid w:val="00BC23B9"/>
    <w:rsid w:val="00BC2C1C"/>
    <w:rsid w:val="00BC2CE1"/>
    <w:rsid w:val="00BD4F59"/>
    <w:rsid w:val="00BD5A10"/>
    <w:rsid w:val="00BE0F3E"/>
    <w:rsid w:val="00BE3B50"/>
    <w:rsid w:val="00BE59E7"/>
    <w:rsid w:val="00BE63DF"/>
    <w:rsid w:val="00BF09A8"/>
    <w:rsid w:val="00BF1363"/>
    <w:rsid w:val="00BF27C0"/>
    <w:rsid w:val="00BF2C51"/>
    <w:rsid w:val="00BF35E7"/>
    <w:rsid w:val="00BF6B9B"/>
    <w:rsid w:val="00BF6E6B"/>
    <w:rsid w:val="00C0219A"/>
    <w:rsid w:val="00C051DD"/>
    <w:rsid w:val="00C17946"/>
    <w:rsid w:val="00C2497C"/>
    <w:rsid w:val="00C24C9C"/>
    <w:rsid w:val="00C31349"/>
    <w:rsid w:val="00C3171B"/>
    <w:rsid w:val="00C31AB6"/>
    <w:rsid w:val="00C335A1"/>
    <w:rsid w:val="00C35FF3"/>
    <w:rsid w:val="00C36329"/>
    <w:rsid w:val="00C4613A"/>
    <w:rsid w:val="00C5552E"/>
    <w:rsid w:val="00C57473"/>
    <w:rsid w:val="00C66C22"/>
    <w:rsid w:val="00C702A5"/>
    <w:rsid w:val="00C71B21"/>
    <w:rsid w:val="00C74605"/>
    <w:rsid w:val="00C750B3"/>
    <w:rsid w:val="00C75C8A"/>
    <w:rsid w:val="00C75CC7"/>
    <w:rsid w:val="00C8134D"/>
    <w:rsid w:val="00C84625"/>
    <w:rsid w:val="00C8571B"/>
    <w:rsid w:val="00C8628E"/>
    <w:rsid w:val="00C95B46"/>
    <w:rsid w:val="00C972AC"/>
    <w:rsid w:val="00CA44C7"/>
    <w:rsid w:val="00CA54B7"/>
    <w:rsid w:val="00CB1456"/>
    <w:rsid w:val="00CB3580"/>
    <w:rsid w:val="00CB4B27"/>
    <w:rsid w:val="00CB6CDC"/>
    <w:rsid w:val="00CD7160"/>
    <w:rsid w:val="00CE4295"/>
    <w:rsid w:val="00CF45E7"/>
    <w:rsid w:val="00CF493E"/>
    <w:rsid w:val="00CF7B79"/>
    <w:rsid w:val="00D039C5"/>
    <w:rsid w:val="00D03A88"/>
    <w:rsid w:val="00D04DD3"/>
    <w:rsid w:val="00D068FC"/>
    <w:rsid w:val="00D22C64"/>
    <w:rsid w:val="00D2441A"/>
    <w:rsid w:val="00D30732"/>
    <w:rsid w:val="00D33EB9"/>
    <w:rsid w:val="00D520F3"/>
    <w:rsid w:val="00D540F1"/>
    <w:rsid w:val="00D567DA"/>
    <w:rsid w:val="00D71EB3"/>
    <w:rsid w:val="00D7467C"/>
    <w:rsid w:val="00D844E3"/>
    <w:rsid w:val="00DA3307"/>
    <w:rsid w:val="00DB0069"/>
    <w:rsid w:val="00DB0985"/>
    <w:rsid w:val="00DB0C48"/>
    <w:rsid w:val="00DC2015"/>
    <w:rsid w:val="00DC5B00"/>
    <w:rsid w:val="00DE0A7E"/>
    <w:rsid w:val="00DE1821"/>
    <w:rsid w:val="00DE3425"/>
    <w:rsid w:val="00DE4EE0"/>
    <w:rsid w:val="00DE56FC"/>
    <w:rsid w:val="00DF1653"/>
    <w:rsid w:val="00DF240D"/>
    <w:rsid w:val="00DF3186"/>
    <w:rsid w:val="00E032F3"/>
    <w:rsid w:val="00E04445"/>
    <w:rsid w:val="00E07C1C"/>
    <w:rsid w:val="00E1097E"/>
    <w:rsid w:val="00E17153"/>
    <w:rsid w:val="00E258A6"/>
    <w:rsid w:val="00E272B1"/>
    <w:rsid w:val="00E33264"/>
    <w:rsid w:val="00E37271"/>
    <w:rsid w:val="00E430DA"/>
    <w:rsid w:val="00E46050"/>
    <w:rsid w:val="00E5018C"/>
    <w:rsid w:val="00E510A7"/>
    <w:rsid w:val="00E52CC6"/>
    <w:rsid w:val="00E53956"/>
    <w:rsid w:val="00E5681B"/>
    <w:rsid w:val="00E5766F"/>
    <w:rsid w:val="00E60EF3"/>
    <w:rsid w:val="00E71B30"/>
    <w:rsid w:val="00E762AB"/>
    <w:rsid w:val="00E82268"/>
    <w:rsid w:val="00E85986"/>
    <w:rsid w:val="00E90C39"/>
    <w:rsid w:val="00E913FB"/>
    <w:rsid w:val="00EA1075"/>
    <w:rsid w:val="00EA7675"/>
    <w:rsid w:val="00EB40BE"/>
    <w:rsid w:val="00EB4234"/>
    <w:rsid w:val="00EB5DE1"/>
    <w:rsid w:val="00EC096C"/>
    <w:rsid w:val="00EC740A"/>
    <w:rsid w:val="00ED31F4"/>
    <w:rsid w:val="00ED51FE"/>
    <w:rsid w:val="00ED52F8"/>
    <w:rsid w:val="00ED5972"/>
    <w:rsid w:val="00ED7ED4"/>
    <w:rsid w:val="00EE0958"/>
    <w:rsid w:val="00EE44FD"/>
    <w:rsid w:val="00EE714C"/>
    <w:rsid w:val="00EF3625"/>
    <w:rsid w:val="00F01C87"/>
    <w:rsid w:val="00F06BEA"/>
    <w:rsid w:val="00F10255"/>
    <w:rsid w:val="00F213C6"/>
    <w:rsid w:val="00F318A1"/>
    <w:rsid w:val="00F52A51"/>
    <w:rsid w:val="00F52F0D"/>
    <w:rsid w:val="00F53083"/>
    <w:rsid w:val="00F553D4"/>
    <w:rsid w:val="00F55704"/>
    <w:rsid w:val="00F624F8"/>
    <w:rsid w:val="00F70D45"/>
    <w:rsid w:val="00F717B1"/>
    <w:rsid w:val="00F73E18"/>
    <w:rsid w:val="00F7453F"/>
    <w:rsid w:val="00F8042F"/>
    <w:rsid w:val="00F804CF"/>
    <w:rsid w:val="00F80867"/>
    <w:rsid w:val="00F80AED"/>
    <w:rsid w:val="00F81006"/>
    <w:rsid w:val="00F8573F"/>
    <w:rsid w:val="00F91369"/>
    <w:rsid w:val="00F91FD9"/>
    <w:rsid w:val="00F9639F"/>
    <w:rsid w:val="00F96821"/>
    <w:rsid w:val="00FA09D9"/>
    <w:rsid w:val="00FA110C"/>
    <w:rsid w:val="00FA145F"/>
    <w:rsid w:val="00FA439E"/>
    <w:rsid w:val="00FA71EF"/>
    <w:rsid w:val="00FA7D2D"/>
    <w:rsid w:val="00FB10A7"/>
    <w:rsid w:val="00FB573B"/>
    <w:rsid w:val="00FC28C5"/>
    <w:rsid w:val="00FE1D40"/>
    <w:rsid w:val="00FE35EC"/>
    <w:rsid w:val="00FE637B"/>
    <w:rsid w:val="00FF182D"/>
    <w:rsid w:val="00FF20F4"/>
    <w:rsid w:val="00FF3D5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FAAB"/>
  <w15:docId w15:val="{DDBA1C2D-D8C0-4F62-9752-A692ED61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0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B6CDC"/>
    <w:rPr>
      <w:color w:val="808080"/>
    </w:rPr>
  </w:style>
  <w:style w:type="paragraph" w:styleId="a4">
    <w:name w:val="List Paragraph"/>
    <w:basedOn w:val="a"/>
    <w:uiPriority w:val="34"/>
    <w:qFormat/>
    <w:rsid w:val="006C75C3"/>
    <w:pPr>
      <w:ind w:left="720"/>
      <w:contextualSpacing/>
    </w:pPr>
  </w:style>
  <w:style w:type="paragraph" w:customStyle="1" w:styleId="Default">
    <w:name w:val="Default"/>
    <w:rsid w:val="006C75C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5">
    <w:name w:val="annotation reference"/>
    <w:basedOn w:val="a0"/>
    <w:unhideWhenUsed/>
    <w:rsid w:val="00D33EB9"/>
    <w:rPr>
      <w:sz w:val="16"/>
      <w:szCs w:val="16"/>
    </w:rPr>
  </w:style>
  <w:style w:type="paragraph" w:styleId="a6">
    <w:name w:val="annotation text"/>
    <w:basedOn w:val="a"/>
    <w:link w:val="a7"/>
    <w:unhideWhenUsed/>
    <w:rsid w:val="00D33E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D33EB9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3E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3EB9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3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3EB9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A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A389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BA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3898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C051D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051DD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051DD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C051DD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051DD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C051DD"/>
    <w:rPr>
      <w:vertAlign w:val="superscript"/>
    </w:rPr>
  </w:style>
  <w:style w:type="table" w:styleId="af6">
    <w:name w:val="Table Grid"/>
    <w:basedOn w:val="a1"/>
    <w:uiPriority w:val="39"/>
    <w:rsid w:val="0024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E09CC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Hyperlink"/>
    <w:basedOn w:val="a0"/>
    <w:uiPriority w:val="99"/>
    <w:unhideWhenUsed/>
    <w:rsid w:val="00BF6B9B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D7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83806-CFCE-49D8-B484-327FFE1E4B4E}"/>
      </w:docPartPr>
      <w:docPartBody>
        <w:p w:rsidR="00A001F3" w:rsidRDefault="00F020BF">
          <w:r w:rsidRPr="00444CC8">
            <w:rPr>
              <w:rStyle w:val="a3"/>
            </w:rPr>
            <w:t>Выберите элемент.</w:t>
          </w:r>
        </w:p>
      </w:docPartBody>
    </w:docPart>
    <w:docPart>
      <w:docPartPr>
        <w:name w:val="7E52357633914F15A4EEE03AD3BCA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FDD34-F556-4117-8B8B-D8A4B76B178A}"/>
      </w:docPartPr>
      <w:docPartBody>
        <w:p w:rsidR="002E0D07" w:rsidRDefault="000932CB" w:rsidP="000932CB">
          <w:pPr>
            <w:pStyle w:val="7E52357633914F15A4EEE03AD3BCA0D1"/>
          </w:pPr>
          <w:r w:rsidRPr="00444CC8">
            <w:rPr>
              <w:rStyle w:val="a3"/>
            </w:rPr>
            <w:t>Выберите элемент.</w:t>
          </w:r>
        </w:p>
      </w:docPartBody>
    </w:docPart>
    <w:docPart>
      <w:docPartPr>
        <w:name w:val="169110AA3E60411FBADE7382000448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AE717F-946E-4837-8B31-86AEB6AD538F}"/>
      </w:docPartPr>
      <w:docPartBody>
        <w:p w:rsidR="00C35533" w:rsidRDefault="00960EFB" w:rsidP="00960EFB">
          <w:pPr>
            <w:pStyle w:val="169110AA3E60411FBADE7382000448CB"/>
          </w:pPr>
          <w:r w:rsidRPr="00444CC8">
            <w:rPr>
              <w:rStyle w:val="a3"/>
            </w:rPr>
            <w:t>Выберите элемент.</w:t>
          </w:r>
        </w:p>
      </w:docPartBody>
    </w:docPart>
    <w:docPart>
      <w:docPartPr>
        <w:name w:val="A83989CA783344338E3099A3D9DD6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2BA10-F6A1-41CC-B3B2-8313B29ADADF}"/>
      </w:docPartPr>
      <w:docPartBody>
        <w:p w:rsidR="006D381C" w:rsidRDefault="00BE10F5" w:rsidP="00BE10F5">
          <w:pPr>
            <w:pStyle w:val="A83989CA783344338E3099A3D9DD63B7"/>
          </w:pPr>
          <w:r w:rsidRPr="00CD2459">
            <w:rPr>
              <w:rStyle w:val="a3"/>
            </w:rPr>
            <w:t>Выберите элемент.</w:t>
          </w:r>
        </w:p>
      </w:docPartBody>
    </w:docPart>
    <w:docPart>
      <w:docPartPr>
        <w:name w:val="2A9B67DFDF7242DEB4456FF8A5D93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A8707-C65B-4CA4-998A-CC3A61244146}"/>
      </w:docPartPr>
      <w:docPartBody>
        <w:p w:rsidR="006D381C" w:rsidRDefault="00BE10F5" w:rsidP="00BE10F5">
          <w:pPr>
            <w:pStyle w:val="2A9B67DFDF7242DEB4456FF8A5D93501"/>
          </w:pPr>
          <w:r w:rsidRPr="00CD2459">
            <w:rPr>
              <w:rStyle w:val="a3"/>
            </w:rPr>
            <w:t>Выберите элемент.</w:t>
          </w:r>
        </w:p>
      </w:docPartBody>
    </w:docPart>
    <w:docPart>
      <w:docPartPr>
        <w:name w:val="B72C04A909D14534AF9CFE4F914218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F4CC9-4162-48B7-80AB-225AA2FB75EF}"/>
      </w:docPartPr>
      <w:docPartBody>
        <w:p w:rsidR="006D381C" w:rsidRDefault="00BE10F5" w:rsidP="00BE10F5">
          <w:pPr>
            <w:pStyle w:val="B72C04A909D14534AF9CFE4F91421874"/>
          </w:pPr>
          <w:r w:rsidRPr="00CD2459">
            <w:rPr>
              <w:rStyle w:val="a3"/>
            </w:rPr>
            <w:t>Выберите элемент.</w:t>
          </w:r>
        </w:p>
      </w:docPartBody>
    </w:docPart>
    <w:docPart>
      <w:docPartPr>
        <w:name w:val="5F358BDFB06A47DCA7C399698A896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5AC6D-0347-40FE-B543-4C32CA1A0186}"/>
      </w:docPartPr>
      <w:docPartBody>
        <w:p w:rsidR="00746692" w:rsidRDefault="006D381C" w:rsidP="006D381C">
          <w:pPr>
            <w:pStyle w:val="5F358BDFB06A47DCA7C399698A896BD6"/>
          </w:pPr>
          <w:r w:rsidRPr="00586D6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BF"/>
    <w:rsid w:val="00026CDD"/>
    <w:rsid w:val="0003147D"/>
    <w:rsid w:val="00074A2A"/>
    <w:rsid w:val="000932CB"/>
    <w:rsid w:val="00102008"/>
    <w:rsid w:val="001029A7"/>
    <w:rsid w:val="00154AD2"/>
    <w:rsid w:val="001924BE"/>
    <w:rsid w:val="00193007"/>
    <w:rsid w:val="00194705"/>
    <w:rsid w:val="001D4CBF"/>
    <w:rsid w:val="001F5869"/>
    <w:rsid w:val="002046A8"/>
    <w:rsid w:val="002079C9"/>
    <w:rsid w:val="00210379"/>
    <w:rsid w:val="00230AC1"/>
    <w:rsid w:val="002530C8"/>
    <w:rsid w:val="002A4582"/>
    <w:rsid w:val="002D2F5F"/>
    <w:rsid w:val="002D41C8"/>
    <w:rsid w:val="002E0318"/>
    <w:rsid w:val="002E0D07"/>
    <w:rsid w:val="002E19A8"/>
    <w:rsid w:val="0031338D"/>
    <w:rsid w:val="003356B1"/>
    <w:rsid w:val="00340C38"/>
    <w:rsid w:val="0034447B"/>
    <w:rsid w:val="0036658C"/>
    <w:rsid w:val="0036723A"/>
    <w:rsid w:val="00373352"/>
    <w:rsid w:val="00386869"/>
    <w:rsid w:val="00386F16"/>
    <w:rsid w:val="003F1270"/>
    <w:rsid w:val="003F58CB"/>
    <w:rsid w:val="00432443"/>
    <w:rsid w:val="004710FE"/>
    <w:rsid w:val="00490D95"/>
    <w:rsid w:val="00497AB4"/>
    <w:rsid w:val="004A368E"/>
    <w:rsid w:val="004D5603"/>
    <w:rsid w:val="004F368C"/>
    <w:rsid w:val="004F6B9E"/>
    <w:rsid w:val="005349CD"/>
    <w:rsid w:val="00540DA8"/>
    <w:rsid w:val="00543439"/>
    <w:rsid w:val="005462CC"/>
    <w:rsid w:val="005738EE"/>
    <w:rsid w:val="005979FA"/>
    <w:rsid w:val="005B1DF1"/>
    <w:rsid w:val="005B4335"/>
    <w:rsid w:val="005D0C43"/>
    <w:rsid w:val="00612145"/>
    <w:rsid w:val="00612197"/>
    <w:rsid w:val="00613211"/>
    <w:rsid w:val="006170B8"/>
    <w:rsid w:val="00653063"/>
    <w:rsid w:val="00680905"/>
    <w:rsid w:val="006B1A91"/>
    <w:rsid w:val="006D381C"/>
    <w:rsid w:val="006D7866"/>
    <w:rsid w:val="00725F5E"/>
    <w:rsid w:val="00740BAA"/>
    <w:rsid w:val="00745E3C"/>
    <w:rsid w:val="00746692"/>
    <w:rsid w:val="00796BD5"/>
    <w:rsid w:val="007F5932"/>
    <w:rsid w:val="007F5A05"/>
    <w:rsid w:val="00800FCB"/>
    <w:rsid w:val="0085494B"/>
    <w:rsid w:val="0085531F"/>
    <w:rsid w:val="00890E82"/>
    <w:rsid w:val="00932987"/>
    <w:rsid w:val="0094025F"/>
    <w:rsid w:val="009442F1"/>
    <w:rsid w:val="00960EFB"/>
    <w:rsid w:val="00967D49"/>
    <w:rsid w:val="009969EE"/>
    <w:rsid w:val="009A7B49"/>
    <w:rsid w:val="009B69D4"/>
    <w:rsid w:val="009D0CD0"/>
    <w:rsid w:val="009D7600"/>
    <w:rsid w:val="009E45D6"/>
    <w:rsid w:val="00A001F3"/>
    <w:rsid w:val="00A24836"/>
    <w:rsid w:val="00A4682C"/>
    <w:rsid w:val="00A743F1"/>
    <w:rsid w:val="00A87B90"/>
    <w:rsid w:val="00A87F64"/>
    <w:rsid w:val="00AB1A83"/>
    <w:rsid w:val="00AB56AE"/>
    <w:rsid w:val="00AE02E1"/>
    <w:rsid w:val="00AF7D33"/>
    <w:rsid w:val="00B13976"/>
    <w:rsid w:val="00BE10F5"/>
    <w:rsid w:val="00C12C92"/>
    <w:rsid w:val="00C35533"/>
    <w:rsid w:val="00C70E63"/>
    <w:rsid w:val="00CA5A06"/>
    <w:rsid w:val="00CB15FF"/>
    <w:rsid w:val="00CF3359"/>
    <w:rsid w:val="00D06E9F"/>
    <w:rsid w:val="00D304FD"/>
    <w:rsid w:val="00D308C3"/>
    <w:rsid w:val="00D724AF"/>
    <w:rsid w:val="00D75F1F"/>
    <w:rsid w:val="00D811F9"/>
    <w:rsid w:val="00D856F2"/>
    <w:rsid w:val="00DB2DC7"/>
    <w:rsid w:val="00DD4F2C"/>
    <w:rsid w:val="00DE2716"/>
    <w:rsid w:val="00E52939"/>
    <w:rsid w:val="00E870B8"/>
    <w:rsid w:val="00E87E21"/>
    <w:rsid w:val="00EB5074"/>
    <w:rsid w:val="00ED1BD5"/>
    <w:rsid w:val="00EE1A82"/>
    <w:rsid w:val="00F01722"/>
    <w:rsid w:val="00F020BF"/>
    <w:rsid w:val="00F431C2"/>
    <w:rsid w:val="00F5047D"/>
    <w:rsid w:val="00F66CD3"/>
    <w:rsid w:val="00F75EF1"/>
    <w:rsid w:val="00F769B4"/>
    <w:rsid w:val="00F83884"/>
    <w:rsid w:val="00F92DAA"/>
    <w:rsid w:val="00FA61EF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D381C"/>
    <w:rPr>
      <w:color w:val="808080"/>
    </w:rPr>
  </w:style>
  <w:style w:type="paragraph" w:customStyle="1" w:styleId="7E52357633914F15A4EEE03AD3BCA0D1">
    <w:name w:val="7E52357633914F15A4EEE03AD3BCA0D1"/>
    <w:rsid w:val="000932CB"/>
  </w:style>
  <w:style w:type="paragraph" w:customStyle="1" w:styleId="169110AA3E60411FBADE7382000448CB">
    <w:name w:val="169110AA3E60411FBADE7382000448CB"/>
    <w:rsid w:val="00960EFB"/>
  </w:style>
  <w:style w:type="paragraph" w:customStyle="1" w:styleId="A83989CA783344338E3099A3D9DD63B7">
    <w:name w:val="A83989CA783344338E3099A3D9DD63B7"/>
    <w:rsid w:val="00BE10F5"/>
  </w:style>
  <w:style w:type="paragraph" w:customStyle="1" w:styleId="2A9B67DFDF7242DEB4456FF8A5D93501">
    <w:name w:val="2A9B67DFDF7242DEB4456FF8A5D93501"/>
    <w:rsid w:val="00BE10F5"/>
  </w:style>
  <w:style w:type="paragraph" w:customStyle="1" w:styleId="B72C04A909D14534AF9CFE4F91421874">
    <w:name w:val="B72C04A909D14534AF9CFE4F91421874"/>
    <w:rsid w:val="00BE10F5"/>
  </w:style>
  <w:style w:type="paragraph" w:customStyle="1" w:styleId="5F358BDFB06A47DCA7C399698A896BD6">
    <w:name w:val="5F358BDFB06A47DCA7C399698A896BD6"/>
    <w:rsid w:val="006D3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D97A-55C9-4AB4-8CA4-A8DD13CF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Рыженко Денис Анатольевич</dc:creator>
  <cp:keywords/>
  <dc:description/>
  <cp:lastModifiedBy>Фалин Алексей Иванович</cp:lastModifiedBy>
  <cp:revision>2</cp:revision>
  <cp:lastPrinted>2025-10-20T12:17:00Z</cp:lastPrinted>
  <dcterms:created xsi:type="dcterms:W3CDTF">2025-10-02T07:58:00Z</dcterms:created>
  <dcterms:modified xsi:type="dcterms:W3CDTF">2025-10-20T12:17:00Z</dcterms:modified>
</cp:coreProperties>
</file>