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1"/>
        <w:tblpPr w:leftFromText="180" w:rightFromText="180" w:vertAnchor="text" w:horzAnchor="margin" w:tblpY="-4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B55F87" w:rsidRPr="00807A7A" w14:paraId="7C322517" w14:textId="77777777" w:rsidTr="00E85EC1">
        <w:tc>
          <w:tcPr>
            <w:tcW w:w="4672" w:type="dxa"/>
          </w:tcPr>
          <w:p w14:paraId="24D23309" w14:textId="78731696" w:rsidR="00B55F87" w:rsidRPr="00E85EC1" w:rsidRDefault="00B55F87" w:rsidP="00B55F87">
            <w:pPr>
              <w:rPr>
                <w:rFonts w:ascii="Times New Roman" w:hAnsi="Times New Roman" w:cs="Times New Roman"/>
                <w:b/>
                <w:sz w:val="18"/>
                <w:szCs w:val="18"/>
              </w:rPr>
            </w:pPr>
            <w:bookmarkStart w:id="0" w:name="_GoBack"/>
            <w:bookmarkEnd w:id="0"/>
          </w:p>
        </w:tc>
        <w:tc>
          <w:tcPr>
            <w:tcW w:w="4672" w:type="dxa"/>
          </w:tcPr>
          <w:p w14:paraId="2EFCA6EE" w14:textId="4F667792" w:rsidR="00B55F87" w:rsidRPr="00E85EC1" w:rsidRDefault="00B55F87" w:rsidP="00B55F87">
            <w:pPr>
              <w:pStyle w:val="ac"/>
              <w:jc w:val="right"/>
              <w:rPr>
                <w:sz w:val="16"/>
                <w:szCs w:val="16"/>
              </w:rPr>
            </w:pPr>
            <w:r w:rsidRPr="00E85EC1">
              <w:rPr>
                <w:sz w:val="16"/>
                <w:szCs w:val="16"/>
              </w:rPr>
              <w:t>Приложение № 2.5</w:t>
            </w:r>
          </w:p>
          <w:p w14:paraId="2D9CB6F4" w14:textId="77777777" w:rsidR="00B55F87" w:rsidRPr="00E85EC1" w:rsidRDefault="00B55F87" w:rsidP="00B55F87">
            <w:pPr>
              <w:pStyle w:val="ac"/>
              <w:jc w:val="right"/>
              <w:rPr>
                <w:sz w:val="16"/>
                <w:szCs w:val="16"/>
              </w:rPr>
            </w:pPr>
            <w:r w:rsidRPr="00E85EC1">
              <w:rPr>
                <w:sz w:val="16"/>
                <w:szCs w:val="16"/>
              </w:rPr>
              <w:t>к Регламенту брокерского обслуживания</w:t>
            </w:r>
          </w:p>
          <w:p w14:paraId="702374D9" w14:textId="45AFC0CB" w:rsidR="00B55F87" w:rsidRPr="00E85EC1" w:rsidRDefault="00D525B5" w:rsidP="00B55F87">
            <w:pPr>
              <w:pStyle w:val="ac"/>
              <w:jc w:val="right"/>
              <w:rPr>
                <w:sz w:val="16"/>
                <w:szCs w:val="16"/>
              </w:rPr>
            </w:pPr>
            <w:r>
              <w:rPr>
                <w:sz w:val="16"/>
                <w:szCs w:val="16"/>
              </w:rPr>
              <w:t>А</w:t>
            </w:r>
            <w:r w:rsidR="00B55F87" w:rsidRPr="00E85EC1">
              <w:rPr>
                <w:sz w:val="16"/>
                <w:szCs w:val="16"/>
              </w:rPr>
              <w:t>О «</w:t>
            </w:r>
            <w:r w:rsidR="0011706A">
              <w:rPr>
                <w:sz w:val="16"/>
                <w:szCs w:val="16"/>
              </w:rPr>
              <w:t>И</w:t>
            </w:r>
            <w:r w:rsidR="00B55F87" w:rsidRPr="00E85EC1">
              <w:rPr>
                <w:sz w:val="16"/>
                <w:szCs w:val="16"/>
              </w:rPr>
              <w:t>К «Горизонт»</w:t>
            </w:r>
          </w:p>
          <w:p w14:paraId="1B468A3E" w14:textId="77777777" w:rsidR="00B55F87" w:rsidRPr="00E85EC1" w:rsidRDefault="00B55F87" w:rsidP="00B55F87">
            <w:pPr>
              <w:rPr>
                <w:rFonts w:ascii="Times New Roman" w:hAnsi="Times New Roman" w:cs="Times New Roman"/>
                <w:b/>
                <w:sz w:val="18"/>
                <w:szCs w:val="18"/>
              </w:rPr>
            </w:pPr>
          </w:p>
        </w:tc>
      </w:tr>
    </w:tbl>
    <w:p w14:paraId="516A22CA" w14:textId="77777777" w:rsidR="006A1538" w:rsidRPr="00E85EC1" w:rsidRDefault="006A1538" w:rsidP="00E85EC1">
      <w:pPr>
        <w:autoSpaceDE w:val="0"/>
        <w:autoSpaceDN w:val="0"/>
        <w:adjustRightInd w:val="0"/>
        <w:spacing w:after="120" w:line="240" w:lineRule="auto"/>
        <w:rPr>
          <w:rFonts w:ascii="Times New Roman" w:hAnsi="Times New Roman" w:cs="Times New Roman"/>
          <w:b/>
          <w:bCs/>
          <w:sz w:val="18"/>
          <w:szCs w:val="18"/>
        </w:rPr>
      </w:pPr>
    </w:p>
    <w:p w14:paraId="7DFF05D7" w14:textId="1D3BE426" w:rsidR="006A1538" w:rsidRPr="00E85EC1" w:rsidRDefault="006A1538" w:rsidP="00E57CAC">
      <w:pPr>
        <w:spacing w:after="6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Перечень рисков, представленный в настоящем </w:t>
      </w:r>
      <w:r w:rsidR="00C149E9" w:rsidRPr="00E85EC1">
        <w:rPr>
          <w:rFonts w:ascii="Times New Roman" w:hAnsi="Times New Roman" w:cs="Times New Roman"/>
          <w:sz w:val="18"/>
          <w:szCs w:val="18"/>
        </w:rPr>
        <w:t>П</w:t>
      </w:r>
      <w:r w:rsidRPr="00E85EC1">
        <w:rPr>
          <w:rFonts w:ascii="Times New Roman" w:hAnsi="Times New Roman" w:cs="Times New Roman"/>
          <w:sz w:val="18"/>
          <w:szCs w:val="18"/>
        </w:rPr>
        <w:t>риложении</w:t>
      </w:r>
      <w:r w:rsidR="00C149E9" w:rsidRPr="00E85EC1">
        <w:rPr>
          <w:rFonts w:ascii="Times New Roman" w:hAnsi="Times New Roman" w:cs="Times New Roman"/>
          <w:sz w:val="18"/>
          <w:szCs w:val="18"/>
        </w:rPr>
        <w:t xml:space="preserve"> к Регламенту</w:t>
      </w:r>
      <w:r w:rsidR="00E57CAC">
        <w:rPr>
          <w:rFonts w:ascii="Times New Roman" w:hAnsi="Times New Roman" w:cs="Times New Roman"/>
          <w:sz w:val="18"/>
          <w:szCs w:val="18"/>
        </w:rPr>
        <w:t xml:space="preserve"> </w:t>
      </w:r>
      <w:r w:rsidR="00E57CAC" w:rsidRPr="00E57CAC">
        <w:rPr>
          <w:rFonts w:ascii="Times New Roman" w:hAnsi="Times New Roman" w:cs="Times New Roman"/>
          <w:sz w:val="18"/>
          <w:szCs w:val="18"/>
        </w:rPr>
        <w:t>брокерского обслуживания</w:t>
      </w:r>
      <w:r w:rsidR="00E57CAC">
        <w:rPr>
          <w:rFonts w:ascii="Times New Roman" w:hAnsi="Times New Roman" w:cs="Times New Roman"/>
          <w:sz w:val="18"/>
          <w:szCs w:val="18"/>
        </w:rPr>
        <w:t xml:space="preserve"> </w:t>
      </w:r>
      <w:r w:rsidR="00D525B5">
        <w:rPr>
          <w:rFonts w:ascii="Times New Roman" w:hAnsi="Times New Roman" w:cs="Times New Roman"/>
          <w:sz w:val="18"/>
          <w:szCs w:val="18"/>
        </w:rPr>
        <w:t>А</w:t>
      </w:r>
      <w:r w:rsidR="00E57CAC" w:rsidRPr="00E57CAC">
        <w:rPr>
          <w:rFonts w:ascii="Times New Roman" w:hAnsi="Times New Roman" w:cs="Times New Roman"/>
          <w:sz w:val="18"/>
          <w:szCs w:val="18"/>
        </w:rPr>
        <w:t>О «</w:t>
      </w:r>
      <w:r w:rsidR="00D525B5">
        <w:rPr>
          <w:rFonts w:ascii="Times New Roman" w:hAnsi="Times New Roman" w:cs="Times New Roman"/>
          <w:sz w:val="18"/>
          <w:szCs w:val="18"/>
        </w:rPr>
        <w:t>И</w:t>
      </w:r>
      <w:r w:rsidR="00E57CAC" w:rsidRPr="00E57CAC">
        <w:rPr>
          <w:rFonts w:ascii="Times New Roman" w:hAnsi="Times New Roman" w:cs="Times New Roman"/>
          <w:sz w:val="18"/>
          <w:szCs w:val="18"/>
        </w:rPr>
        <w:t>К «Горизонт»</w:t>
      </w:r>
      <w:r w:rsidRPr="00E85EC1">
        <w:rPr>
          <w:rFonts w:ascii="Times New Roman" w:hAnsi="Times New Roman" w:cs="Times New Roman"/>
          <w:sz w:val="18"/>
          <w:szCs w:val="18"/>
        </w:rPr>
        <w:t>, не является исчерпывающим и не раскрывает информации обо всех рисках, связанных с инвестированием в ценные бумаги, иные финансовые инструменты, с совершением сделок с иностранной валютой и драгоценными металлами, с заключением договоров, являющихся производными финансовыми инструментами вследствие разнообразия ситуаций, возникающих на рынке ценных бумаг.</w:t>
      </w:r>
    </w:p>
    <w:p w14:paraId="7D167EAA" w14:textId="187EAE7B" w:rsidR="006A1538" w:rsidRPr="00E85EC1" w:rsidRDefault="006A1538" w:rsidP="00E85EC1">
      <w:pPr>
        <w:spacing w:after="60" w:line="240" w:lineRule="auto"/>
        <w:jc w:val="both"/>
        <w:rPr>
          <w:rFonts w:ascii="Times New Roman" w:hAnsi="Times New Roman" w:cs="Times New Roman"/>
          <w:sz w:val="18"/>
          <w:szCs w:val="18"/>
        </w:rPr>
      </w:pPr>
      <w:r w:rsidRPr="00E85EC1">
        <w:rPr>
          <w:rFonts w:ascii="Times New Roman" w:hAnsi="Times New Roman" w:cs="Times New Roman"/>
          <w:sz w:val="18"/>
          <w:szCs w:val="18"/>
        </w:rPr>
        <w:t>Декларации и уведомления призваны помочь Клиенту понять риски, связанные с инвестированием в финансовые инструменты, определить их приемлемость для себя, реально оценить свои финансовые цели и возможности.</w:t>
      </w:r>
    </w:p>
    <w:p w14:paraId="79423C76" w14:textId="77777777" w:rsidR="006A1538" w:rsidRPr="00E85EC1" w:rsidRDefault="006A1538" w:rsidP="00481756">
      <w:pPr>
        <w:autoSpaceDE w:val="0"/>
        <w:autoSpaceDN w:val="0"/>
        <w:adjustRightInd w:val="0"/>
        <w:spacing w:after="120" w:line="240" w:lineRule="auto"/>
        <w:rPr>
          <w:rFonts w:ascii="Times New Roman" w:hAnsi="Times New Roman" w:cs="Times New Roman"/>
          <w:b/>
          <w:bCs/>
          <w:sz w:val="18"/>
          <w:szCs w:val="18"/>
        </w:rPr>
      </w:pPr>
    </w:p>
    <w:p w14:paraId="1C5D35EE" w14:textId="5660371C" w:rsidR="00370C69" w:rsidRPr="00E85EC1" w:rsidRDefault="00370C69" w:rsidP="00CD72D7">
      <w:pPr>
        <w:autoSpaceDE w:val="0"/>
        <w:autoSpaceDN w:val="0"/>
        <w:adjustRightInd w:val="0"/>
        <w:spacing w:after="120" w:line="240" w:lineRule="auto"/>
        <w:jc w:val="center"/>
        <w:rPr>
          <w:rFonts w:ascii="Times New Roman" w:hAnsi="Times New Roman" w:cs="Times New Roman"/>
          <w:b/>
          <w:bCs/>
          <w:sz w:val="18"/>
          <w:szCs w:val="18"/>
        </w:rPr>
      </w:pPr>
      <w:r w:rsidRPr="00E85EC1">
        <w:rPr>
          <w:rFonts w:ascii="Times New Roman" w:hAnsi="Times New Roman" w:cs="Times New Roman"/>
          <w:b/>
          <w:bCs/>
          <w:sz w:val="18"/>
          <w:szCs w:val="18"/>
        </w:rPr>
        <w:t>Деклараци</w:t>
      </w:r>
      <w:r w:rsidR="00C149E9" w:rsidRPr="00E85EC1">
        <w:rPr>
          <w:rFonts w:ascii="Times New Roman" w:hAnsi="Times New Roman" w:cs="Times New Roman"/>
          <w:b/>
          <w:bCs/>
          <w:sz w:val="18"/>
          <w:szCs w:val="18"/>
        </w:rPr>
        <w:t>я</w:t>
      </w:r>
      <w:r w:rsidRPr="00E85EC1">
        <w:rPr>
          <w:rFonts w:ascii="Times New Roman" w:hAnsi="Times New Roman" w:cs="Times New Roman"/>
          <w:b/>
          <w:bCs/>
          <w:sz w:val="18"/>
          <w:szCs w:val="18"/>
        </w:rPr>
        <w:t xml:space="preserve"> о рисках</w:t>
      </w:r>
    </w:p>
    <w:p w14:paraId="716ACF6F" w14:textId="77777777" w:rsidR="00CD72D7" w:rsidRPr="00E85EC1" w:rsidRDefault="00CD72D7" w:rsidP="00CD72D7">
      <w:pPr>
        <w:autoSpaceDE w:val="0"/>
        <w:autoSpaceDN w:val="0"/>
        <w:adjustRightInd w:val="0"/>
        <w:spacing w:after="0" w:line="240" w:lineRule="auto"/>
        <w:jc w:val="both"/>
        <w:rPr>
          <w:rFonts w:ascii="Times New Roman" w:hAnsi="Times New Roman" w:cs="Times New Roman"/>
          <w:bCs/>
          <w:sz w:val="18"/>
          <w:szCs w:val="18"/>
        </w:rPr>
      </w:pPr>
    </w:p>
    <w:p w14:paraId="672B679C" w14:textId="77777777" w:rsidR="00370C69" w:rsidRPr="00E85EC1" w:rsidRDefault="00370C69" w:rsidP="00E85EC1">
      <w:pPr>
        <w:pStyle w:val="a3"/>
        <w:numPr>
          <w:ilvl w:val="0"/>
          <w:numId w:val="1"/>
        </w:numPr>
        <w:autoSpaceDE w:val="0"/>
        <w:autoSpaceDN w:val="0"/>
        <w:adjustRightInd w:val="0"/>
        <w:spacing w:after="120" w:line="240" w:lineRule="auto"/>
        <w:jc w:val="both"/>
        <w:rPr>
          <w:rFonts w:ascii="Times New Roman" w:hAnsi="Times New Roman" w:cs="Times New Roman"/>
          <w:b/>
          <w:bCs/>
          <w:sz w:val="18"/>
          <w:szCs w:val="18"/>
        </w:rPr>
      </w:pPr>
      <w:r w:rsidRPr="00E85EC1">
        <w:rPr>
          <w:rFonts w:ascii="Times New Roman" w:hAnsi="Times New Roman" w:cs="Times New Roman"/>
          <w:b/>
          <w:bCs/>
          <w:sz w:val="18"/>
          <w:szCs w:val="18"/>
        </w:rPr>
        <w:t>Декларация об общих рисках, связанных с осуществлением операций на рынке ценных бумаг</w:t>
      </w:r>
    </w:p>
    <w:p w14:paraId="0732AC68" w14:textId="77777777"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Цель настоящей Декларации — предоставить вам информацию об основных рисках, связанных с осуществлением операций на рынке ценных бумаг. Обращаем ваше внимание на то, что настоящая Декларация не раскрывает информацию обо всех рисках на рынке ценных бумаг вследствие разнообразия возникающих на нем ситуаций.</w:t>
      </w:r>
    </w:p>
    <w:p w14:paraId="3E0CD85D" w14:textId="77777777"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В общем смысле риск представляет собой возможность возникновения убытков при осуществлении финансовых операций в связи с возможным неблагоприятным влиянием разного рода факторов. Ниже – основные риски, с которыми будут связаны ваши операции на рынке ценных бумаг.</w:t>
      </w:r>
    </w:p>
    <w:p w14:paraId="0DD545AC" w14:textId="0D6B9EA8" w:rsidR="00370C69" w:rsidRPr="00E85EC1" w:rsidRDefault="00370C69" w:rsidP="00370C69">
      <w:pPr>
        <w:autoSpaceDE w:val="0"/>
        <w:autoSpaceDN w:val="0"/>
        <w:adjustRightInd w:val="0"/>
        <w:spacing w:before="120" w:after="120" w:line="240" w:lineRule="auto"/>
        <w:mirrorIndents/>
        <w:rPr>
          <w:rFonts w:ascii="Times New Roman" w:hAnsi="Times New Roman" w:cs="Times New Roman"/>
          <w:sz w:val="18"/>
          <w:szCs w:val="18"/>
        </w:rPr>
      </w:pPr>
      <w:r w:rsidRPr="00E85EC1">
        <w:rPr>
          <w:rFonts w:ascii="Times New Roman" w:hAnsi="Times New Roman" w:cs="Times New Roman"/>
          <w:sz w:val="18"/>
          <w:szCs w:val="18"/>
        </w:rPr>
        <w:t>1. Системный риск</w:t>
      </w:r>
    </w:p>
    <w:p w14:paraId="49DEA1D0" w14:textId="77777777"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Этот риск затрагивает несколько финансовых институтов и проявляется в снижении их способности выполнять свои функции.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w:t>
      </w:r>
    </w:p>
    <w:p w14:paraId="7CF28997" w14:textId="1972B938" w:rsidR="00370C69" w:rsidRPr="00E85EC1" w:rsidRDefault="00370C69" w:rsidP="00370C69">
      <w:pPr>
        <w:autoSpaceDE w:val="0"/>
        <w:autoSpaceDN w:val="0"/>
        <w:adjustRightInd w:val="0"/>
        <w:spacing w:before="120" w:after="120" w:line="240" w:lineRule="auto"/>
        <w:mirrorIndents/>
        <w:rPr>
          <w:rFonts w:ascii="Times New Roman" w:hAnsi="Times New Roman" w:cs="Times New Roman"/>
          <w:sz w:val="18"/>
          <w:szCs w:val="18"/>
        </w:rPr>
      </w:pPr>
      <w:r w:rsidRPr="00E85EC1">
        <w:rPr>
          <w:rFonts w:ascii="Times New Roman" w:hAnsi="Times New Roman" w:cs="Times New Roman"/>
          <w:sz w:val="18"/>
          <w:szCs w:val="18"/>
        </w:rPr>
        <w:t>2. Рыночный риск</w:t>
      </w:r>
    </w:p>
    <w:p w14:paraId="7F956EAC" w14:textId="77777777"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Этот риск проявляется в неблагоприятном изменении цен (стоимости) принадлежащих вам финансовых инструментов, в том числе из-за неблагоприятного изменения политической ситуации, резкой девальвации национальной валюты, кризиса рынка государственных долговых обязательств, банковского и валютного кризиса, обстоятельств непреодолимой силы, главным образом стихийного и военного характера, и как следствие, приводит к снижению доходности или даже убыткам. В зависимости от выбранной стратегии рыночный (ценовой) риск будет состоять в увеличении (уменьшении) цены финансовых инструментов. Вы должны отдавать себе отчет в том, что стоимость принадлежащих вам финансовых инструментов может как расти, так и снижаться, и ее рост в прошлом не означает ее роста в будущем.</w:t>
      </w:r>
    </w:p>
    <w:p w14:paraId="22C3B067" w14:textId="77777777"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Следует специально обратить внимание на следующие рыночные риски:</w:t>
      </w:r>
    </w:p>
    <w:p w14:paraId="485312E5" w14:textId="61386099" w:rsidR="00370C69" w:rsidRPr="00E85EC1" w:rsidRDefault="00370C69" w:rsidP="00370C69">
      <w:pPr>
        <w:autoSpaceDE w:val="0"/>
        <w:autoSpaceDN w:val="0"/>
        <w:adjustRightInd w:val="0"/>
        <w:spacing w:before="120" w:after="120" w:line="240" w:lineRule="auto"/>
        <w:mirrorIndents/>
        <w:rPr>
          <w:rFonts w:ascii="Times New Roman" w:hAnsi="Times New Roman" w:cs="Times New Roman"/>
          <w:sz w:val="18"/>
          <w:szCs w:val="18"/>
        </w:rPr>
      </w:pPr>
      <w:r w:rsidRPr="00E85EC1">
        <w:rPr>
          <w:rFonts w:ascii="Times New Roman" w:hAnsi="Times New Roman" w:cs="Times New Roman"/>
          <w:sz w:val="18"/>
          <w:szCs w:val="18"/>
        </w:rPr>
        <w:t>1). Валютный риск</w:t>
      </w:r>
    </w:p>
    <w:p w14:paraId="3608ACDD" w14:textId="77777777"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Валютный риск проявляется в неблагоприятном изменении курса рубля по отношению к иностранной валюте, при котором ваши доходы от владения финансовыми инструментами могут быть подвергнуты инфляционному воздействию (снижению реальной покупательной способности), вследствие чего вы можете потерять часть дохода, а также понести убытки. Валютный риск также может привести к изменению размера обязательств по финансовым инструментам, связанным с иностранной валютой или иностранными финансовыми инструментами, что может привести к убыткам или к затруднению возможности рассчитываться по ним.</w:t>
      </w:r>
    </w:p>
    <w:p w14:paraId="05DC73AE" w14:textId="4ADEC3D2" w:rsidR="00370C69" w:rsidRPr="00E85EC1" w:rsidRDefault="00370C69" w:rsidP="00370C69">
      <w:pPr>
        <w:autoSpaceDE w:val="0"/>
        <w:autoSpaceDN w:val="0"/>
        <w:adjustRightInd w:val="0"/>
        <w:spacing w:before="120" w:after="120" w:line="240" w:lineRule="auto"/>
        <w:mirrorIndents/>
        <w:rPr>
          <w:rFonts w:ascii="Times New Roman" w:hAnsi="Times New Roman" w:cs="Times New Roman"/>
          <w:sz w:val="18"/>
          <w:szCs w:val="18"/>
        </w:rPr>
      </w:pPr>
      <w:r w:rsidRPr="00E85EC1">
        <w:rPr>
          <w:rFonts w:ascii="Times New Roman" w:hAnsi="Times New Roman" w:cs="Times New Roman"/>
          <w:sz w:val="18"/>
          <w:szCs w:val="18"/>
        </w:rPr>
        <w:t>2). Процентный риск</w:t>
      </w:r>
    </w:p>
    <w:p w14:paraId="754E8212" w14:textId="77777777"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Проявляется в неблагоприятном изменении процентной ставки, влияющей на курсовую стоимость облигаций с фиксированным доходом.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14:paraId="5FE0DEA7" w14:textId="5F0B1AE4" w:rsidR="00370C69" w:rsidRPr="00E85EC1" w:rsidRDefault="00370C69" w:rsidP="00370C69">
      <w:pPr>
        <w:autoSpaceDE w:val="0"/>
        <w:autoSpaceDN w:val="0"/>
        <w:adjustRightInd w:val="0"/>
        <w:spacing w:before="120" w:after="120" w:line="240" w:lineRule="auto"/>
        <w:mirrorIndents/>
        <w:rPr>
          <w:rFonts w:ascii="Times New Roman" w:hAnsi="Times New Roman" w:cs="Times New Roman"/>
          <w:sz w:val="18"/>
          <w:szCs w:val="18"/>
        </w:rPr>
      </w:pPr>
      <w:r w:rsidRPr="00E85EC1">
        <w:rPr>
          <w:rFonts w:ascii="Times New Roman" w:hAnsi="Times New Roman" w:cs="Times New Roman"/>
          <w:sz w:val="18"/>
          <w:szCs w:val="18"/>
        </w:rPr>
        <w:t>3). Риск банкротства эмитента акций</w:t>
      </w:r>
    </w:p>
    <w:p w14:paraId="50CA9F15" w14:textId="77777777"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Проявляется в резком падении цены акций акционерного общества, признанного несостоятельным, или в предвидении такой несостоятельности.</w:t>
      </w:r>
    </w:p>
    <w:p w14:paraId="0845D07C" w14:textId="77777777"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Для того чтобы снизить рыночный риск, вам следует внимательно отнестись к выбору и диверсификации финансовых инструментов. Кроме того, внимательно ознакомьтесь с условиями вашего взаимодействия с вашим брокером для того, чтобы оценить расходы, с которыми будут связаны владение и операции с финансовыми инструментами и убедитесь, в том, что они приемлемы для вас и не лишают вас ожидаемого вами дохода.</w:t>
      </w:r>
    </w:p>
    <w:p w14:paraId="795BCF14" w14:textId="173D5188" w:rsidR="00370C69" w:rsidRPr="00E85EC1" w:rsidRDefault="00370C69" w:rsidP="00370C69">
      <w:pPr>
        <w:autoSpaceDE w:val="0"/>
        <w:autoSpaceDN w:val="0"/>
        <w:adjustRightInd w:val="0"/>
        <w:spacing w:before="120" w:after="120" w:line="240" w:lineRule="auto"/>
        <w:mirrorIndents/>
        <w:rPr>
          <w:rFonts w:ascii="Times New Roman" w:hAnsi="Times New Roman" w:cs="Times New Roman"/>
          <w:sz w:val="18"/>
          <w:szCs w:val="18"/>
        </w:rPr>
      </w:pPr>
      <w:r w:rsidRPr="00E85EC1">
        <w:rPr>
          <w:rFonts w:ascii="Times New Roman" w:hAnsi="Times New Roman" w:cs="Times New Roman"/>
          <w:sz w:val="18"/>
          <w:szCs w:val="18"/>
        </w:rPr>
        <w:t>3. Риск ликвидности</w:t>
      </w:r>
    </w:p>
    <w:p w14:paraId="52242EA5" w14:textId="77777777"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Этот риск проявляется в снижении возможности реализовать финансовые инструменты по необходимой цене из-за снижения спроса на них. Данный риск может проявиться, в частности, при необходимости быстрой продажи финансовых инструментов, в убытках, связанных со значительным снижением их стоимости.</w:t>
      </w:r>
    </w:p>
    <w:p w14:paraId="511E5DDC" w14:textId="3B6964B9" w:rsidR="00370C69" w:rsidRPr="00E85EC1" w:rsidRDefault="00370C69" w:rsidP="00370C69">
      <w:pPr>
        <w:autoSpaceDE w:val="0"/>
        <w:autoSpaceDN w:val="0"/>
        <w:adjustRightInd w:val="0"/>
        <w:spacing w:before="120" w:after="120" w:line="240" w:lineRule="auto"/>
        <w:mirrorIndents/>
        <w:rPr>
          <w:rFonts w:ascii="Times New Roman" w:hAnsi="Times New Roman" w:cs="Times New Roman"/>
          <w:sz w:val="18"/>
          <w:szCs w:val="18"/>
        </w:rPr>
      </w:pPr>
      <w:r w:rsidRPr="00E85EC1">
        <w:rPr>
          <w:rFonts w:ascii="Times New Roman" w:hAnsi="Times New Roman" w:cs="Times New Roman"/>
          <w:sz w:val="18"/>
          <w:szCs w:val="18"/>
        </w:rPr>
        <w:t>4. Кредитный риск</w:t>
      </w:r>
    </w:p>
    <w:p w14:paraId="1503ACAC" w14:textId="77777777"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lastRenderedPageBreak/>
        <w:t>Этот риск заключается в возможности невыполнения контрактных и иных обязательств, принятых на себя другими лицами в связи с вашими операциями.</w:t>
      </w:r>
    </w:p>
    <w:p w14:paraId="4903FD9A" w14:textId="77777777"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К числу кредитных рисков относятся следующие риски:</w:t>
      </w:r>
    </w:p>
    <w:p w14:paraId="3924E2D9" w14:textId="5549EC97"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1). Риск дефолта по облигациям и иным долговым ценным бумагам</w:t>
      </w:r>
    </w:p>
    <w:p w14:paraId="571F79DE" w14:textId="77777777"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Заключается в возможности неплатежеспособности эмитента долговых ценных бумаг, что приведет к невозможности или снижению вероятности погасить ее в срок и в полном объеме.</w:t>
      </w:r>
    </w:p>
    <w:p w14:paraId="6D932E16" w14:textId="10063F77"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2). Риск контрагента</w:t>
      </w:r>
    </w:p>
    <w:p w14:paraId="425BE62C" w14:textId="77777777"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Риск контрагента — третьего лица проявляется в риске неисполнения обязательств перед вами или вашим брокером со стороны контрагентов. Ваш брокер должен принимать меры по минимизации риска контрагента, однако не может исключить его полностью. Особенно высок риск контрагента при совершении операций, совершаемых на неорганизованном рынке, без участия клиринговых организаций, которые принимают на себя риски неисполнения обязательств.</w:t>
      </w:r>
    </w:p>
    <w:p w14:paraId="5A99FA47" w14:textId="77777777"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Вы должны отдавать себе отчет в том, что хотя брокер действует в ваших интересах от своего имени, риски, которые он принимает в результате таких действий, в том числе риск неисполнения или ненадлежащего исполнения обязательств третьих лиц перед вашим брокером, несете вы. Вам следует иметь в виду, что во всех случаях денежные средства клиента хранятся на банковском счете, и вы несете риск банкротства банка, в котором они хранятся. Оцените, где именно будут храниться переданные вами брокеру активы, готовы ли вы осуществлять операции вне централизованной клиринговой инфраструктуры.</w:t>
      </w:r>
    </w:p>
    <w:p w14:paraId="60235CE5" w14:textId="5ABD6D34"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3). Риск неисполнения обязательств перед вами вашим брокером</w:t>
      </w:r>
    </w:p>
    <w:p w14:paraId="47AF94A2" w14:textId="77777777"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Риск неисполнения вашим брокером некоторых обязательств перед вами является видом риска контрагента. Законодательство требует хранить денежные средства брокера и денежные средства его клиентов на разных банковских счетах, благодаря чему они защищены в случае банкротства брокера. Однако обычно денежные средства клиента хранятся на банковском счете вместе с денежными средствами других клиентов и поэтому не защищены от обращения взыскания по долгам других клиентов. Для того чтобы исключить этот риск, вы можете требовать от брокера хранить ваши денежные средства на отдельном счете, но в этом случае брокер может установить дополнительное вознаграждение.</w:t>
      </w:r>
    </w:p>
    <w:p w14:paraId="35E5E3B8" w14:textId="77777777"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Особое внимание следует также обратить на право вашего брокера использовать ваши средства. Если договор о брокерском обслуживании разрешает брокеру использовать ваши средства, он вправе зачислять их на банковский счет, предназначенный для хранения своих собственных денежных средств. В этом случае вы принимаете на себя риск банкротства брокера. Такой риск в настоящее время не страхуется.</w:t>
      </w:r>
    </w:p>
    <w:p w14:paraId="4F5DCDA7" w14:textId="67DBE2D3"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 xml:space="preserve">Внимательно ознакомьтесь с проектом </w:t>
      </w:r>
      <w:r w:rsidR="00C21651" w:rsidRPr="00E85EC1">
        <w:rPr>
          <w:rFonts w:ascii="Times New Roman" w:hAnsi="Times New Roman" w:cs="Times New Roman"/>
          <w:sz w:val="18"/>
          <w:szCs w:val="18"/>
        </w:rPr>
        <w:t>договора о брокерском обслуживании</w:t>
      </w:r>
      <w:r w:rsidRPr="00E85EC1">
        <w:rPr>
          <w:rFonts w:ascii="Times New Roman" w:hAnsi="Times New Roman" w:cs="Times New Roman"/>
          <w:sz w:val="18"/>
          <w:szCs w:val="18"/>
        </w:rPr>
        <w:t xml:space="preserve"> для того, чтобы оценить, какие полномочия по использованию вашего имущества будет иметь ваш брокер, каковы правила его хранения, а также возврата.</w:t>
      </w:r>
    </w:p>
    <w:p w14:paraId="5CA76844" w14:textId="77777777"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Ваш брокер является членом НАУФОР, к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w:t>
      </w:r>
    </w:p>
    <w:p w14:paraId="1D57E86C" w14:textId="6F9E04CC" w:rsidR="00370C69" w:rsidRPr="00E85EC1" w:rsidRDefault="00370C69" w:rsidP="00370C69">
      <w:pPr>
        <w:autoSpaceDE w:val="0"/>
        <w:autoSpaceDN w:val="0"/>
        <w:adjustRightInd w:val="0"/>
        <w:spacing w:before="120" w:after="120" w:line="240" w:lineRule="auto"/>
        <w:mirrorIndents/>
        <w:rPr>
          <w:rFonts w:ascii="Times New Roman" w:hAnsi="Times New Roman" w:cs="Times New Roman"/>
          <w:sz w:val="18"/>
          <w:szCs w:val="18"/>
        </w:rPr>
      </w:pPr>
      <w:r w:rsidRPr="00E85EC1">
        <w:rPr>
          <w:rFonts w:ascii="Times New Roman" w:hAnsi="Times New Roman" w:cs="Times New Roman"/>
          <w:sz w:val="18"/>
          <w:szCs w:val="18"/>
        </w:rPr>
        <w:t>5. Правовой риск</w:t>
      </w:r>
    </w:p>
    <w:p w14:paraId="507C4A67" w14:textId="77777777"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Связан с возможными негативными последствиями утверждения законодательства или нормативных актов, стандартов саморегулируемых организаций, регулирующих рынок ценных бумаг, или иные отрасли экономики, которые могут косвенно привести к негативным для вас последствиям.</w:t>
      </w:r>
    </w:p>
    <w:p w14:paraId="4B3F4315" w14:textId="77777777"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К правовому риску также относится возможность изменения правил расчета налога, налоговых ставок, отмены налоговых вычетов и другие изменения налогового законодательства, которые могут привести к негативным для вас последствиям.</w:t>
      </w:r>
    </w:p>
    <w:p w14:paraId="54FD6B86" w14:textId="4BD4D1B3" w:rsidR="00370C69" w:rsidRPr="00E85EC1" w:rsidRDefault="00370C69" w:rsidP="00370C69">
      <w:pPr>
        <w:autoSpaceDE w:val="0"/>
        <w:autoSpaceDN w:val="0"/>
        <w:adjustRightInd w:val="0"/>
        <w:spacing w:before="120" w:after="120" w:line="240" w:lineRule="auto"/>
        <w:mirrorIndents/>
        <w:rPr>
          <w:rFonts w:ascii="Times New Roman" w:hAnsi="Times New Roman" w:cs="Times New Roman"/>
          <w:sz w:val="18"/>
          <w:szCs w:val="18"/>
        </w:rPr>
      </w:pPr>
      <w:r w:rsidRPr="00E85EC1">
        <w:rPr>
          <w:rFonts w:ascii="Times New Roman" w:hAnsi="Times New Roman" w:cs="Times New Roman"/>
          <w:sz w:val="18"/>
          <w:szCs w:val="18"/>
        </w:rPr>
        <w:t>6. Операционный риск</w:t>
      </w:r>
    </w:p>
    <w:p w14:paraId="1912C6ED" w14:textId="77777777"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Заключается в возможности причинения вам убытков в результате нарушения внутренних процедур вашего брокера, ошибок и недобросовестных действий его сотрудников, сбоев в работе технических средств вашего брокера, его партнеров, инфраструктурных организаций, в том числе организаторов торгов, клиринговых организаций, а также других организаций. Операционный риск может исключить или затруднить совершение операций и в результате привести к убыткам.</w:t>
      </w:r>
    </w:p>
    <w:p w14:paraId="00664460" w14:textId="15A6A5A7"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 xml:space="preserve">Ознакомьтесь внимательно с </w:t>
      </w:r>
      <w:r w:rsidR="00C21651" w:rsidRPr="00E85EC1">
        <w:rPr>
          <w:rFonts w:ascii="Times New Roman" w:hAnsi="Times New Roman" w:cs="Times New Roman"/>
          <w:sz w:val="18"/>
          <w:szCs w:val="18"/>
        </w:rPr>
        <w:t>договором о брокерском обслуживании</w:t>
      </w:r>
      <w:r w:rsidRPr="00E85EC1">
        <w:rPr>
          <w:rFonts w:ascii="Times New Roman" w:hAnsi="Times New Roman" w:cs="Times New Roman"/>
          <w:sz w:val="18"/>
          <w:szCs w:val="18"/>
        </w:rPr>
        <w:t xml:space="preserve"> для того, чтобы оценить, какие из рисков, в том числе риски каких технических сбоев, несет ваш брокер, а какие из рисков несете вы.</w:t>
      </w:r>
    </w:p>
    <w:p w14:paraId="6E59B4EB" w14:textId="77777777"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Учитывая вышеизложенное, мы рекомендуем вам внимательно рассмотреть вопрос о том, являются ли риски, возникающие при проведении операций на финансовом рынке, приемлемыми для вас с учетом ваших инвестиционных целей и финансовых возможностей.</w:t>
      </w:r>
    </w:p>
    <w:p w14:paraId="027E955C" w14:textId="5A7A81B5" w:rsidR="00370C69" w:rsidRPr="00E85EC1" w:rsidRDefault="00370C69" w:rsidP="00370C69">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 xml:space="preserve">Данная Декларация не имеет своей целью заставить вас отказаться от осуществления операций на рынке ценных бумаг, а призвана помочь вам оценить их риски и ответственно подойти к решению вопроса о выборе вашей инвестиционной стратегии и условий </w:t>
      </w:r>
      <w:r w:rsidR="00C21651" w:rsidRPr="00E85EC1">
        <w:rPr>
          <w:rFonts w:ascii="Times New Roman" w:hAnsi="Times New Roman" w:cs="Times New Roman"/>
          <w:sz w:val="18"/>
          <w:szCs w:val="18"/>
        </w:rPr>
        <w:t>договора о брокерском обслуживании</w:t>
      </w:r>
      <w:r w:rsidRPr="00E85EC1">
        <w:rPr>
          <w:rFonts w:ascii="Times New Roman" w:hAnsi="Times New Roman" w:cs="Times New Roman"/>
          <w:sz w:val="18"/>
          <w:szCs w:val="18"/>
        </w:rPr>
        <w:t xml:space="preserve"> с вашим брокером.</w:t>
      </w:r>
    </w:p>
    <w:p w14:paraId="4EB3EA2C" w14:textId="7287F82C" w:rsidR="00370C69" w:rsidRPr="00E85EC1" w:rsidRDefault="00370C69" w:rsidP="00E85EC1">
      <w:pPr>
        <w:autoSpaceDE w:val="0"/>
        <w:autoSpaceDN w:val="0"/>
        <w:adjustRightInd w:val="0"/>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Убедитесь, что настоящая Декларация о рисках понятна вам, и при необходимости получите разъяснения у вашего брокера или консультанта, специализирующегося на соответствующих вопросах.</w:t>
      </w:r>
    </w:p>
    <w:p w14:paraId="29A4BF59" w14:textId="26D82FF1" w:rsidR="00EA1DB7" w:rsidRPr="00E85EC1" w:rsidRDefault="00EA1DB7" w:rsidP="00CF02BA">
      <w:pPr>
        <w:pStyle w:val="a3"/>
        <w:numPr>
          <w:ilvl w:val="0"/>
          <w:numId w:val="1"/>
        </w:numPr>
        <w:autoSpaceDE w:val="0"/>
        <w:autoSpaceDN w:val="0"/>
        <w:adjustRightInd w:val="0"/>
        <w:spacing w:after="120" w:line="240" w:lineRule="auto"/>
        <w:jc w:val="both"/>
        <w:rPr>
          <w:rFonts w:ascii="Times New Roman" w:hAnsi="Times New Roman" w:cs="Times New Roman"/>
          <w:b/>
          <w:bCs/>
          <w:sz w:val="18"/>
          <w:szCs w:val="18"/>
        </w:rPr>
      </w:pPr>
      <w:r w:rsidRPr="00E85EC1">
        <w:rPr>
          <w:rFonts w:ascii="Times New Roman" w:hAnsi="Times New Roman" w:cs="Times New Roman"/>
          <w:b/>
          <w:bCs/>
          <w:sz w:val="18"/>
          <w:szCs w:val="18"/>
        </w:rPr>
        <w:lastRenderedPageBreak/>
        <w:t>Декларация о рисках, связанных с совершением маржинальных и непокрытых сделок</w:t>
      </w:r>
    </w:p>
    <w:p w14:paraId="304D9412"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Цель настоящей Декларации —предоставить вам информацию об основных рисках, с которыми связаны маржинальные сделки (то есть сделки, исполнение которых осуществляется с использованием заемных средств, предоставленных брокером) и непокрытые сделки (то есть сделки, в результате которых возникает непокрытая позиция – для исполнения обязательств</w:t>
      </w:r>
      <w:r w:rsidR="00DB1359" w:rsidRPr="00E85EC1">
        <w:rPr>
          <w:rFonts w:ascii="Times New Roman" w:hAnsi="Times New Roman" w:cs="Times New Roman"/>
          <w:sz w:val="18"/>
          <w:szCs w:val="18"/>
        </w:rPr>
        <w:t>,</w:t>
      </w:r>
      <w:r w:rsidRPr="00E85EC1">
        <w:rPr>
          <w:rFonts w:ascii="Times New Roman" w:hAnsi="Times New Roman" w:cs="Times New Roman"/>
          <w:sz w:val="18"/>
          <w:szCs w:val="18"/>
        </w:rPr>
        <w:t xml:space="preserve"> по которым на момент заключения сделки имущества клиента, переданного брокеру, недостаточно с</w:t>
      </w:r>
      <w:r w:rsidR="001936C6" w:rsidRPr="00E85EC1">
        <w:rPr>
          <w:rFonts w:ascii="Times New Roman" w:hAnsi="Times New Roman" w:cs="Times New Roman"/>
          <w:sz w:val="18"/>
          <w:szCs w:val="18"/>
        </w:rPr>
        <w:t xml:space="preserve"> </w:t>
      </w:r>
      <w:r w:rsidRPr="00E85EC1">
        <w:rPr>
          <w:rFonts w:ascii="Times New Roman" w:hAnsi="Times New Roman" w:cs="Times New Roman"/>
          <w:sz w:val="18"/>
          <w:szCs w:val="18"/>
        </w:rPr>
        <w:t>учетом иных ранее заключенных сделок).</w:t>
      </w:r>
    </w:p>
    <w:p w14:paraId="2B364F1B" w14:textId="5F3CBF0B"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Данные сделки подходят не всем клиентам. Нормативные акты ограничивают риски клиентов по маржинальным и непокрытым</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сделкам, в том числе регулируя максимальное «плечо» — соотношение обязательств клиента по заключенным в его интересах</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сделкам и имущества клиента, предназначенного для совершения</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 xml:space="preserve">сделок в соответствии с </w:t>
      </w:r>
      <w:r w:rsidR="00C21651" w:rsidRPr="00E85EC1">
        <w:rPr>
          <w:rFonts w:ascii="Times New Roman" w:hAnsi="Times New Roman" w:cs="Times New Roman"/>
          <w:sz w:val="18"/>
          <w:szCs w:val="18"/>
        </w:rPr>
        <w:t>договором о брокерском обслуживании</w:t>
      </w:r>
      <w:r w:rsidRPr="00E85EC1">
        <w:rPr>
          <w:rFonts w:ascii="Times New Roman" w:hAnsi="Times New Roman" w:cs="Times New Roman"/>
          <w:sz w:val="18"/>
          <w:szCs w:val="18"/>
        </w:rPr>
        <w:t>. Тем не менее данные</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сделки подходят не всем клиентам, поскольку сопряжены с</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дополнительными рисками и требуют оценки того, готовы ли вы их</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нести.</w:t>
      </w:r>
    </w:p>
    <w:p w14:paraId="5D858D1B" w14:textId="77777777" w:rsidR="00EA1DB7" w:rsidRPr="00E85EC1" w:rsidRDefault="00EA1DB7" w:rsidP="0040768D">
      <w:pPr>
        <w:pStyle w:val="a3"/>
        <w:numPr>
          <w:ilvl w:val="0"/>
          <w:numId w:val="3"/>
        </w:numPr>
        <w:autoSpaceDE w:val="0"/>
        <w:autoSpaceDN w:val="0"/>
        <w:adjustRightInd w:val="0"/>
        <w:spacing w:after="120" w:line="240" w:lineRule="auto"/>
        <w:rPr>
          <w:rFonts w:ascii="Times New Roman" w:hAnsi="Times New Roman" w:cs="Times New Roman"/>
          <w:sz w:val="18"/>
          <w:szCs w:val="18"/>
        </w:rPr>
      </w:pPr>
      <w:r w:rsidRPr="00E85EC1">
        <w:rPr>
          <w:rFonts w:ascii="Times New Roman" w:hAnsi="Times New Roman" w:cs="Times New Roman"/>
          <w:sz w:val="18"/>
          <w:szCs w:val="18"/>
        </w:rPr>
        <w:t>Рыночный риск</w:t>
      </w:r>
    </w:p>
    <w:p w14:paraId="67833DE4"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При согласии на совершение маржинальных и непокрытых сделок</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вы должны учитывать тот факт, что величина потерь в случае</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неблагоприятного для вашего портфеля движения рынка</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увеличивается при увеличении «плеча».</w:t>
      </w:r>
    </w:p>
    <w:p w14:paraId="30EA420D"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Помимо общего рыночного риска, который несет клиент,</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совершающий операции на рынке ценных бумаг, вы в случае</w:t>
      </w:r>
      <w:r w:rsidR="00323E30" w:rsidRPr="00E85EC1">
        <w:rPr>
          <w:rFonts w:ascii="Times New Roman" w:hAnsi="Times New Roman" w:cs="Times New Roman"/>
          <w:sz w:val="18"/>
          <w:szCs w:val="18"/>
        </w:rPr>
        <w:t xml:space="preserve"> </w:t>
      </w:r>
      <w:r w:rsidRPr="00E85EC1">
        <w:rPr>
          <w:rFonts w:ascii="Times New Roman" w:hAnsi="Times New Roman" w:cs="Times New Roman"/>
          <w:sz w:val="18"/>
          <w:szCs w:val="18"/>
        </w:rPr>
        <w:t>совершения маржинальных и непокрытых сделок будете нести риск</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неблагоприятного изменения цены как в отношении ценных бумаг, в</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результате приобретения которых возникла или увеличилась</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непокрытая позиция, так и риск в отношении активов, которые служат</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обеспечением. При этом, в случае если непокрытая позиция возникла</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или увеличилась в результате продажи ценных бумаг, величина</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убытков ничем не ограничена –</w:t>
      </w:r>
      <w:r w:rsidR="00A97CA0" w:rsidRPr="00E85EC1">
        <w:rPr>
          <w:rFonts w:ascii="Times New Roman" w:hAnsi="Times New Roman" w:cs="Times New Roman"/>
          <w:sz w:val="18"/>
          <w:szCs w:val="18"/>
        </w:rPr>
        <w:t xml:space="preserve"> </w:t>
      </w:r>
      <w:r w:rsidRPr="00E85EC1">
        <w:rPr>
          <w:rFonts w:ascii="Times New Roman" w:hAnsi="Times New Roman" w:cs="Times New Roman"/>
          <w:sz w:val="18"/>
          <w:szCs w:val="18"/>
        </w:rPr>
        <w:t>вы будете обязаны</w:t>
      </w:r>
      <w:r w:rsidR="00A97CA0" w:rsidRPr="00E85EC1">
        <w:rPr>
          <w:rFonts w:ascii="Times New Roman" w:hAnsi="Times New Roman" w:cs="Times New Roman"/>
          <w:sz w:val="18"/>
          <w:szCs w:val="18"/>
        </w:rPr>
        <w:t xml:space="preserve"> </w:t>
      </w:r>
      <w:r w:rsidRPr="00E85EC1">
        <w:rPr>
          <w:rFonts w:ascii="Times New Roman" w:hAnsi="Times New Roman" w:cs="Times New Roman"/>
          <w:sz w:val="18"/>
          <w:szCs w:val="18"/>
        </w:rPr>
        <w:t>вернуть (передать) брокеру ценные бумаги независимо</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от изменения их стоимости.</w:t>
      </w:r>
    </w:p>
    <w:p w14:paraId="25F4A79E"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При совершении маржинальных и непокрытых сделок вы должны</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учитывать, что возможность распоряжения активами, являющимися</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обеспечением по таким сделкам, ограничена.</w:t>
      </w:r>
    </w:p>
    <w:p w14:paraId="35CF2966" w14:textId="3953E8B6"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Имущество (часть имущества), принадлежащее вам, в результате</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совершения маржинальной или непокрытой сделки является</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 xml:space="preserve">обеспечением </w:t>
      </w:r>
      <w:r w:rsidR="00A97CA0" w:rsidRPr="00E85EC1">
        <w:rPr>
          <w:rFonts w:ascii="Times New Roman" w:hAnsi="Times New Roman" w:cs="Times New Roman"/>
          <w:sz w:val="18"/>
          <w:szCs w:val="18"/>
        </w:rPr>
        <w:t xml:space="preserve">исполнения ваших обязательств </w:t>
      </w:r>
      <w:r w:rsidRPr="00E85EC1">
        <w:rPr>
          <w:rFonts w:ascii="Times New Roman" w:hAnsi="Times New Roman" w:cs="Times New Roman"/>
          <w:sz w:val="18"/>
          <w:szCs w:val="18"/>
        </w:rPr>
        <w:t>перед брокером и возможность распоряжения им</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может быть ограничена вплоть до полного запрета совершения с ним</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каких-либо сделок. Размер обеспечения изменяется в порядке,</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предусмотренном договором, и в результате вы можете быть</w:t>
      </w:r>
      <w:r w:rsidR="00323E30" w:rsidRPr="00E85EC1">
        <w:rPr>
          <w:rFonts w:ascii="Times New Roman" w:hAnsi="Times New Roman" w:cs="Times New Roman"/>
          <w:sz w:val="18"/>
          <w:szCs w:val="18"/>
        </w:rPr>
        <w:t xml:space="preserve"> </w:t>
      </w:r>
      <w:r w:rsidRPr="00E85EC1">
        <w:rPr>
          <w:rFonts w:ascii="Times New Roman" w:hAnsi="Times New Roman" w:cs="Times New Roman"/>
          <w:sz w:val="18"/>
          <w:szCs w:val="18"/>
        </w:rPr>
        <w:t>ограничены в возможности распоряжаться своим имуществом в</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большей степени, чем до совершения маржинальной (непокрытой)</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сделки.</w:t>
      </w:r>
    </w:p>
    <w:p w14:paraId="6773EF17" w14:textId="3A8694CE"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Также необходимо учесть возможность принудительного закрытия</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позиции. Неблагоприятное изменение цены может привести к</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необходимости внести дополнительные средства для того, чтобы</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привести обеспечение в соответствие с требованиями нормативных</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 xml:space="preserve">актов и </w:t>
      </w:r>
      <w:r w:rsidR="00C21651" w:rsidRPr="00E85EC1">
        <w:rPr>
          <w:rFonts w:ascii="Times New Roman" w:hAnsi="Times New Roman" w:cs="Times New Roman"/>
          <w:sz w:val="18"/>
          <w:szCs w:val="18"/>
        </w:rPr>
        <w:t>договора о брокерском обслуживании</w:t>
      </w:r>
      <w:r w:rsidRPr="00E85EC1">
        <w:rPr>
          <w:rFonts w:ascii="Times New Roman" w:hAnsi="Times New Roman" w:cs="Times New Roman"/>
          <w:sz w:val="18"/>
          <w:szCs w:val="18"/>
        </w:rPr>
        <w:t>, что должно быть сделано в короткий</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срок, который может быть недостаточен для вас. Нормативные акты и</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 xml:space="preserve">условия </w:t>
      </w:r>
      <w:r w:rsidR="00C21651" w:rsidRPr="00E85EC1">
        <w:rPr>
          <w:rFonts w:ascii="Times New Roman" w:hAnsi="Times New Roman" w:cs="Times New Roman"/>
          <w:sz w:val="18"/>
          <w:szCs w:val="18"/>
        </w:rPr>
        <w:t>договора о брокерском обслуживании</w:t>
      </w:r>
      <w:r w:rsidRPr="00E85EC1">
        <w:rPr>
          <w:rFonts w:ascii="Times New Roman" w:hAnsi="Times New Roman" w:cs="Times New Roman"/>
          <w:sz w:val="18"/>
          <w:szCs w:val="18"/>
        </w:rPr>
        <w:t xml:space="preserve"> позволяют брокеру без вашего</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согласия «принудительно закрыть</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позицию», то есть приобрести ценные бумаги за счет ваших денежных</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средств или продать ваши ценные бумаги. Это может быть сделано по</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существующим, в том числе невыгодным, ценам и привести к</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возникновению у вас убытков.</w:t>
      </w:r>
    </w:p>
    <w:p w14:paraId="65A838AB"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Принудительное закрытие позиции может быть вызвано резкими</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колебаниями рыночных цен, которые повлекли уменьшение стоимости</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вашего портфеля ниже минимальной маржи.</w:t>
      </w:r>
    </w:p>
    <w:p w14:paraId="0192E6DF"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Принудительное закрытие позиции может быть вызвано</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требованиями нормативных актов или внесением брокером в</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одностороннем порядке изменений в список ценных бумаг, которые</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могут быть обеспечением по непокрытым позициям.</w:t>
      </w:r>
    </w:p>
    <w:p w14:paraId="7BAF97F4"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Принудительное закрытие может быть вызвано изменением</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значений ставок риска, рассчитываемых клиринговой организацией и</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(или) используемых брокером в связи с увеличением волатильности</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соответствующих ценных бумаг.</w:t>
      </w:r>
    </w:p>
    <w:p w14:paraId="1A656C85"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Во всех этих случаях принудительное закрытие позиции может</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 xml:space="preserve">причинить вам значительные </w:t>
      </w:r>
      <w:proofErr w:type="gramStart"/>
      <w:r w:rsidRPr="00E85EC1">
        <w:rPr>
          <w:rFonts w:ascii="Times New Roman" w:hAnsi="Times New Roman" w:cs="Times New Roman"/>
          <w:sz w:val="18"/>
          <w:szCs w:val="18"/>
        </w:rPr>
        <w:t>убытки, несмотря на то, что</w:t>
      </w:r>
      <w:proofErr w:type="gramEnd"/>
      <w:r w:rsidRPr="00E85EC1">
        <w:rPr>
          <w:rFonts w:ascii="Times New Roman" w:hAnsi="Times New Roman" w:cs="Times New Roman"/>
          <w:sz w:val="18"/>
          <w:szCs w:val="18"/>
        </w:rPr>
        <w:t xml:space="preserve"> после</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закрытия позиции изменение цен на финансовые инструменты может</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принять благоприятное для вас направление, и вы получили бы доход,</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если бы ваша позиция не была закрыта. Размер указанных убытков при</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неблагоприятном стечении обстоятельств может превысить стоимость</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находящихся на вашем счету активов.</w:t>
      </w:r>
    </w:p>
    <w:p w14:paraId="4000F984" w14:textId="77777777" w:rsidR="00EA1DB7" w:rsidRPr="00E85EC1" w:rsidRDefault="00EA1DB7" w:rsidP="0040768D">
      <w:pPr>
        <w:pStyle w:val="a3"/>
        <w:numPr>
          <w:ilvl w:val="0"/>
          <w:numId w:val="3"/>
        </w:numPr>
        <w:autoSpaceDE w:val="0"/>
        <w:autoSpaceDN w:val="0"/>
        <w:adjustRightInd w:val="0"/>
        <w:spacing w:after="120" w:line="240" w:lineRule="auto"/>
        <w:rPr>
          <w:rFonts w:ascii="Times New Roman" w:hAnsi="Times New Roman" w:cs="Times New Roman"/>
          <w:sz w:val="18"/>
          <w:szCs w:val="18"/>
        </w:rPr>
      </w:pPr>
      <w:r w:rsidRPr="00E85EC1">
        <w:rPr>
          <w:rFonts w:ascii="Times New Roman" w:hAnsi="Times New Roman" w:cs="Times New Roman"/>
          <w:sz w:val="18"/>
          <w:szCs w:val="18"/>
        </w:rPr>
        <w:t>Риск ликвидности</w:t>
      </w:r>
    </w:p>
    <w:p w14:paraId="00711692"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Если величина непокрытой позиции по отдельным ценным</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бумагам является значимой в сравнении с объемом соответствующих</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ценных бумаг в свободном обращении и (или) в сравнении с объемом</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торгов на организованном рынке, риск ликвидности при совершении</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маржинальной и непокрытой сделки усиливается. Трудности с</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приобретением или продажей активов могут привести к увеличению</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убытков по сравнению с обычными сделками. Аналогично необходимо</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учитывать возрастающий риск ликвидности, если обеспечением вашей</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непокрытой позиции являются ценные бумаги и для закрытия</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непокрытой позиции может потребоваться реализация существенного</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количества ценных бумаг.</w:t>
      </w:r>
    </w:p>
    <w:p w14:paraId="0D7B9BCF"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Ваши поручения, направленные на ограничение убытков, не</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всегда могут ограничить потери до предполагаемого уровня, так как в</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рамках складывающейся на рынке ситуации исполнение такого</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поручения по указанной вами це</w:t>
      </w:r>
      <w:r w:rsidR="00A97CA0" w:rsidRPr="00E85EC1">
        <w:rPr>
          <w:rFonts w:ascii="Times New Roman" w:hAnsi="Times New Roman" w:cs="Times New Roman"/>
          <w:sz w:val="18"/>
          <w:szCs w:val="18"/>
        </w:rPr>
        <w:t>не может оказаться невозможным.</w:t>
      </w:r>
    </w:p>
    <w:p w14:paraId="5A151397" w14:textId="58078690"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Учитывая вышеизложенное, мы рекомендуем вам внимательно</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рассмотреть вопрос о том, являются ли риски, возникающие при</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проведении соответствующих операций, приемлемыми для вас с</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учетом ваших инвестиционных целей и финансовых возможностей.</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Данная Декларация не имеет своей целью заставить вас отказаться от</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осуществления таких операций, а призвана помочь вам оценить их</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риски и ответственно подойти к решению вопроса о выборе вашей</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инвестиционной стратегии и условий договора</w:t>
      </w:r>
      <w:r w:rsidR="00C21651" w:rsidRPr="00E85EC1">
        <w:rPr>
          <w:rFonts w:ascii="Times New Roman" w:hAnsi="Times New Roman" w:cs="Times New Roman"/>
          <w:sz w:val="18"/>
          <w:szCs w:val="18"/>
        </w:rPr>
        <w:t xml:space="preserve"> </w:t>
      </w:r>
      <w:r w:rsidRPr="00E85EC1">
        <w:rPr>
          <w:rFonts w:ascii="Times New Roman" w:hAnsi="Times New Roman" w:cs="Times New Roman"/>
          <w:sz w:val="18"/>
          <w:szCs w:val="18"/>
        </w:rPr>
        <w:t xml:space="preserve">с вашим </w:t>
      </w:r>
      <w:r w:rsidR="00A97CA0" w:rsidRPr="00E85EC1">
        <w:rPr>
          <w:rFonts w:ascii="Times New Roman" w:hAnsi="Times New Roman" w:cs="Times New Roman"/>
          <w:sz w:val="18"/>
          <w:szCs w:val="18"/>
        </w:rPr>
        <w:t>брокером</w:t>
      </w:r>
      <w:r w:rsidRPr="00E85EC1">
        <w:rPr>
          <w:rFonts w:ascii="Times New Roman" w:hAnsi="Times New Roman" w:cs="Times New Roman"/>
          <w:sz w:val="18"/>
          <w:szCs w:val="18"/>
        </w:rPr>
        <w:t>.</w:t>
      </w:r>
    </w:p>
    <w:p w14:paraId="759D6075"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Убедитесь, что настоящая Декларация о рисках понятна вам, и при</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необходимости получите разъяснения у вашего</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брокера</w:t>
      </w:r>
      <w:r w:rsidR="0049717B" w:rsidRPr="00E85EC1">
        <w:rPr>
          <w:rFonts w:ascii="Times New Roman" w:hAnsi="Times New Roman" w:cs="Times New Roman"/>
          <w:sz w:val="18"/>
          <w:szCs w:val="18"/>
        </w:rPr>
        <w:t xml:space="preserve"> </w:t>
      </w:r>
      <w:r w:rsidRPr="00E85EC1">
        <w:rPr>
          <w:rFonts w:ascii="Times New Roman" w:hAnsi="Times New Roman" w:cs="Times New Roman"/>
          <w:sz w:val="18"/>
          <w:szCs w:val="18"/>
        </w:rPr>
        <w:t>или консультанта, специализирующегося на</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соответствующих вопросах.</w:t>
      </w:r>
    </w:p>
    <w:p w14:paraId="318A4D82" w14:textId="77777777" w:rsidR="00883B36" w:rsidRPr="00E85EC1" w:rsidRDefault="00883B36" w:rsidP="00CD72D7">
      <w:pPr>
        <w:pStyle w:val="a3"/>
        <w:numPr>
          <w:ilvl w:val="0"/>
          <w:numId w:val="1"/>
        </w:numPr>
        <w:autoSpaceDE w:val="0"/>
        <w:autoSpaceDN w:val="0"/>
        <w:adjustRightInd w:val="0"/>
        <w:spacing w:after="120" w:line="240" w:lineRule="auto"/>
        <w:jc w:val="both"/>
        <w:rPr>
          <w:rFonts w:ascii="Times New Roman" w:hAnsi="Times New Roman" w:cs="Times New Roman"/>
          <w:b/>
          <w:bCs/>
          <w:sz w:val="18"/>
          <w:szCs w:val="18"/>
        </w:rPr>
      </w:pPr>
      <w:r w:rsidRPr="00E85EC1">
        <w:rPr>
          <w:rFonts w:ascii="Times New Roman" w:hAnsi="Times New Roman" w:cs="Times New Roman"/>
          <w:b/>
          <w:bCs/>
          <w:sz w:val="18"/>
          <w:szCs w:val="18"/>
        </w:rPr>
        <w:lastRenderedPageBreak/>
        <w:t>Деклараци</w:t>
      </w:r>
      <w:r w:rsidR="00EA1DB7" w:rsidRPr="00E85EC1">
        <w:rPr>
          <w:rFonts w:ascii="Times New Roman" w:hAnsi="Times New Roman" w:cs="Times New Roman"/>
          <w:b/>
          <w:bCs/>
          <w:sz w:val="18"/>
          <w:szCs w:val="18"/>
        </w:rPr>
        <w:t>я о</w:t>
      </w:r>
      <w:r w:rsidRPr="00E85EC1">
        <w:rPr>
          <w:rFonts w:ascii="Times New Roman" w:hAnsi="Times New Roman" w:cs="Times New Roman"/>
          <w:b/>
          <w:bCs/>
          <w:sz w:val="18"/>
          <w:szCs w:val="18"/>
        </w:rPr>
        <w:t xml:space="preserve"> рисках, связанн</w:t>
      </w:r>
      <w:r w:rsidR="00EA1DB7" w:rsidRPr="00E85EC1">
        <w:rPr>
          <w:rFonts w:ascii="Times New Roman" w:hAnsi="Times New Roman" w:cs="Times New Roman"/>
          <w:b/>
          <w:bCs/>
          <w:sz w:val="18"/>
          <w:szCs w:val="18"/>
        </w:rPr>
        <w:t>ых</w:t>
      </w:r>
      <w:r w:rsidRPr="00E85EC1">
        <w:rPr>
          <w:rFonts w:ascii="Times New Roman" w:hAnsi="Times New Roman" w:cs="Times New Roman"/>
          <w:b/>
          <w:bCs/>
          <w:sz w:val="18"/>
          <w:szCs w:val="18"/>
        </w:rPr>
        <w:t xml:space="preserve"> </w:t>
      </w:r>
      <w:r w:rsidR="00EA1DB7" w:rsidRPr="00E85EC1">
        <w:rPr>
          <w:rFonts w:ascii="Times New Roman" w:hAnsi="Times New Roman" w:cs="Times New Roman"/>
          <w:b/>
          <w:bCs/>
          <w:sz w:val="18"/>
          <w:szCs w:val="18"/>
        </w:rPr>
        <w:t>с</w:t>
      </w:r>
      <w:r w:rsidRPr="00E85EC1">
        <w:rPr>
          <w:rFonts w:ascii="Times New Roman" w:hAnsi="Times New Roman" w:cs="Times New Roman"/>
          <w:b/>
          <w:bCs/>
          <w:sz w:val="18"/>
          <w:szCs w:val="18"/>
        </w:rPr>
        <w:t xml:space="preserve"> п</w:t>
      </w:r>
      <w:r w:rsidR="00EA1DB7" w:rsidRPr="00E85EC1">
        <w:rPr>
          <w:rFonts w:ascii="Times New Roman" w:hAnsi="Times New Roman" w:cs="Times New Roman"/>
          <w:b/>
          <w:bCs/>
          <w:sz w:val="18"/>
          <w:szCs w:val="18"/>
        </w:rPr>
        <w:t>ро</w:t>
      </w:r>
      <w:r w:rsidRPr="00E85EC1">
        <w:rPr>
          <w:rFonts w:ascii="Times New Roman" w:hAnsi="Times New Roman" w:cs="Times New Roman"/>
          <w:b/>
          <w:bCs/>
          <w:sz w:val="18"/>
          <w:szCs w:val="18"/>
        </w:rPr>
        <w:t>изводными финансовыми инструментами</w:t>
      </w:r>
    </w:p>
    <w:p w14:paraId="21CC4860"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Цель настоящей Декларации —предоставить вам информацию об</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основных рисках, связанных с производными финансовыми</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инструментами.</w:t>
      </w:r>
    </w:p>
    <w:p w14:paraId="35013DAD"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Данные инструменты (фьючерсы, форварды, опционы, свопы и др.)</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подходят не всем клиентам. Более того, некоторые виды производных</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 xml:space="preserve">финансовых инструментов сопряжены с </w:t>
      </w:r>
      <w:proofErr w:type="spellStart"/>
      <w:r w:rsidRPr="00E85EC1">
        <w:rPr>
          <w:rFonts w:ascii="Times New Roman" w:hAnsi="Times New Roman" w:cs="Times New Roman"/>
          <w:sz w:val="18"/>
          <w:szCs w:val="18"/>
        </w:rPr>
        <w:t>бо́льшим</w:t>
      </w:r>
      <w:proofErr w:type="spellEnd"/>
      <w:r w:rsidRPr="00E85EC1">
        <w:rPr>
          <w:rFonts w:ascii="Times New Roman" w:hAnsi="Times New Roman" w:cs="Times New Roman"/>
          <w:sz w:val="18"/>
          <w:szCs w:val="18"/>
        </w:rPr>
        <w:t xml:space="preserve"> уровнем риска, чем</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другие. Так, продажа опционных контрактов и заключение фьючерсных</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контрактов, форвардных контрактов и своп-контрактов при</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относительно небольших неблагоприятных колебаниях цен на рынке</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может подвергнуть вас риску значительных убытков. С учетом этого,</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совершение сделок по продаже опционных контрактов и заключение</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фьючерсных и форвардных контрактов может быть рекомендовано</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только опытным инвесторам, обладающим значительными</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финансовыми возможностями и практическими знаниями в области</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применения инвестиционных стратегий.</w:t>
      </w:r>
    </w:p>
    <w:p w14:paraId="0BA7F589"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Настоящая декларация относится также и к производным</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финансовым инструментам, направленным на снижение рисков других</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операций на фондовом рынке. Внимательно оцените, как ваши</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производные финансовые инструменты соотносятся с операциями,</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риски по которым они призваны ограничить, и убедитесь, что объем</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позиции на срочном рынке соответствует объему хеджируемой</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позиции на спот-рынке.</w:t>
      </w:r>
    </w:p>
    <w:p w14:paraId="45833A86" w14:textId="77777777" w:rsidR="00EA1DB7" w:rsidRPr="00E85EC1" w:rsidRDefault="00EA1DB7" w:rsidP="0040768D">
      <w:pPr>
        <w:pStyle w:val="a3"/>
        <w:numPr>
          <w:ilvl w:val="0"/>
          <w:numId w:val="5"/>
        </w:num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Рыночный риск</w:t>
      </w:r>
    </w:p>
    <w:p w14:paraId="5668F188"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Помимо общего рыночного (ценового) риска, который несет</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клиент, совершающий операции на рынке ценных бумаг, вы в случае</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заключ</w:t>
      </w:r>
      <w:r w:rsidR="00883B36" w:rsidRPr="00E85EC1">
        <w:rPr>
          <w:rFonts w:ascii="Times New Roman" w:hAnsi="Times New Roman" w:cs="Times New Roman"/>
          <w:sz w:val="18"/>
          <w:szCs w:val="18"/>
        </w:rPr>
        <w:t xml:space="preserve">ения </w:t>
      </w:r>
      <w:r w:rsidR="00A97CA0" w:rsidRPr="00E85EC1">
        <w:rPr>
          <w:rFonts w:ascii="Times New Roman" w:hAnsi="Times New Roman" w:cs="Times New Roman"/>
          <w:sz w:val="18"/>
          <w:szCs w:val="18"/>
        </w:rPr>
        <w:t>вами</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договоров, являющихся</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производными финансовыми инструментами, будете нести риск</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неблагоприятного изменения цены как финансовых инструментов,</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являющихся базисным активом производных финансовых</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инструментов, так и риск в отношении активов, которые служат</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обеспечением.</w:t>
      </w:r>
    </w:p>
    <w:p w14:paraId="1306D9DB"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В случае неблагоприятного изменения цены вы можете в</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сравнительно короткий срок потерять средства, являющиеся</w:t>
      </w:r>
      <w:r w:rsidR="00535FA1" w:rsidRPr="00E85EC1">
        <w:rPr>
          <w:rFonts w:ascii="Times New Roman" w:hAnsi="Times New Roman" w:cs="Times New Roman"/>
          <w:sz w:val="18"/>
          <w:szCs w:val="18"/>
        </w:rPr>
        <w:t xml:space="preserve"> </w:t>
      </w:r>
      <w:r w:rsidRPr="00E85EC1">
        <w:rPr>
          <w:rFonts w:ascii="Times New Roman" w:hAnsi="Times New Roman" w:cs="Times New Roman"/>
          <w:sz w:val="18"/>
          <w:szCs w:val="18"/>
        </w:rPr>
        <w:t>обеспечением производных финансовых инструментов.</w:t>
      </w:r>
    </w:p>
    <w:p w14:paraId="08E06C2C"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При заключении договоров, являющихся производными</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финансовыми инструментами, вы должны учитывать, что возможность</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распоряжения активами, являющимися обеспечением по таким</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договорам, ограничена.</w:t>
      </w:r>
    </w:p>
    <w:p w14:paraId="24A27DA6"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Имущество (часть имущества), принадлежащее вам, в результате</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заключения договора, являющегося производным финансовым</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инструментом, будет являться обеспечением исполнения обязательств</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по указанному договору и распоряжение им, то есть возможность</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совершения вами сделок с ним, будет</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ограничено. Размер обеспечения изменяется в порядке,</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предусмотренном договором (спецификацией контракта), и в</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результате вы можете быть ограничены</w:t>
      </w:r>
      <w:r w:rsidR="00A97CA0" w:rsidRPr="00E85EC1">
        <w:rPr>
          <w:rFonts w:ascii="Times New Roman" w:hAnsi="Times New Roman" w:cs="Times New Roman"/>
          <w:sz w:val="18"/>
          <w:szCs w:val="18"/>
        </w:rPr>
        <w:t xml:space="preserve"> </w:t>
      </w:r>
      <w:r w:rsidRPr="00E85EC1">
        <w:rPr>
          <w:rFonts w:ascii="Times New Roman" w:hAnsi="Times New Roman" w:cs="Times New Roman"/>
          <w:sz w:val="18"/>
          <w:szCs w:val="18"/>
        </w:rPr>
        <w:t>в возможности распоряжаться вашим имуществом в</w:t>
      </w:r>
      <w:r w:rsidR="00883B36" w:rsidRPr="00E85EC1">
        <w:rPr>
          <w:rFonts w:ascii="Times New Roman" w:hAnsi="Times New Roman" w:cs="Times New Roman"/>
          <w:sz w:val="18"/>
          <w:szCs w:val="18"/>
        </w:rPr>
        <w:t xml:space="preserve"> </w:t>
      </w:r>
      <w:r w:rsidRPr="00E85EC1">
        <w:rPr>
          <w:rFonts w:ascii="Times New Roman" w:hAnsi="Times New Roman" w:cs="Times New Roman"/>
          <w:sz w:val="18"/>
          <w:szCs w:val="18"/>
        </w:rPr>
        <w:t>большей степени, чем до заключения договора.</w:t>
      </w:r>
    </w:p>
    <w:p w14:paraId="08BAFC7C" w14:textId="33C23973"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Также необходимо учесть возможность принудительного закрытия</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позиции. Неблагоприятное изменение цены может привести к</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необходимости внести дополнительные средства для того, чтобы</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привести обеспечение в соответствие с требованиями нормативных</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 xml:space="preserve">актов и </w:t>
      </w:r>
      <w:r w:rsidR="00C21651" w:rsidRPr="00E85EC1">
        <w:rPr>
          <w:rFonts w:ascii="Times New Roman" w:hAnsi="Times New Roman" w:cs="Times New Roman"/>
          <w:sz w:val="18"/>
          <w:szCs w:val="18"/>
        </w:rPr>
        <w:t>договора о брокерском обслуживании</w:t>
      </w:r>
      <w:r w:rsidRPr="00E85EC1">
        <w:rPr>
          <w:rFonts w:ascii="Times New Roman" w:hAnsi="Times New Roman" w:cs="Times New Roman"/>
          <w:sz w:val="18"/>
          <w:szCs w:val="18"/>
        </w:rPr>
        <w:t>, что должно быть сделано в короткий</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 xml:space="preserve">срок, который может быть недостаточен для вас. Обслуживающий </w:t>
      </w:r>
      <w:r w:rsidR="00A97CA0" w:rsidRPr="00E85EC1">
        <w:rPr>
          <w:rFonts w:ascii="Times New Roman" w:hAnsi="Times New Roman" w:cs="Times New Roman"/>
          <w:sz w:val="18"/>
          <w:szCs w:val="18"/>
        </w:rPr>
        <w:t>вас</w:t>
      </w:r>
      <w:r w:rsidR="00A90B65" w:rsidRPr="00E85EC1">
        <w:rPr>
          <w:rFonts w:ascii="Times New Roman" w:hAnsi="Times New Roman" w:cs="Times New Roman"/>
          <w:sz w:val="18"/>
          <w:szCs w:val="18"/>
        </w:rPr>
        <w:t xml:space="preserve"> </w:t>
      </w:r>
      <w:r w:rsidR="00A97CA0" w:rsidRPr="00E85EC1">
        <w:rPr>
          <w:rFonts w:ascii="Times New Roman" w:hAnsi="Times New Roman" w:cs="Times New Roman"/>
          <w:sz w:val="18"/>
          <w:szCs w:val="18"/>
        </w:rPr>
        <w:t>брокер в этом случае вправе без</w:t>
      </w:r>
      <w:r w:rsidR="0049717B" w:rsidRPr="00E85EC1">
        <w:rPr>
          <w:rFonts w:ascii="Times New Roman" w:hAnsi="Times New Roman" w:cs="Times New Roman"/>
          <w:sz w:val="18"/>
          <w:szCs w:val="18"/>
        </w:rPr>
        <w:t xml:space="preserve"> </w:t>
      </w:r>
      <w:r w:rsidR="00A97CA0" w:rsidRPr="00E85EC1">
        <w:rPr>
          <w:rFonts w:ascii="Times New Roman" w:hAnsi="Times New Roman" w:cs="Times New Roman"/>
          <w:sz w:val="18"/>
          <w:szCs w:val="18"/>
        </w:rPr>
        <w:t>вашего</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дополнительног</w:t>
      </w:r>
      <w:r w:rsidR="00A97CA0" w:rsidRPr="00E85EC1">
        <w:rPr>
          <w:rFonts w:ascii="Times New Roman" w:hAnsi="Times New Roman" w:cs="Times New Roman"/>
          <w:sz w:val="18"/>
          <w:szCs w:val="18"/>
        </w:rPr>
        <w:t xml:space="preserve">о согласия </w:t>
      </w:r>
      <w:r w:rsidRPr="00E85EC1">
        <w:rPr>
          <w:rFonts w:ascii="Times New Roman" w:hAnsi="Times New Roman" w:cs="Times New Roman"/>
          <w:sz w:val="18"/>
          <w:szCs w:val="18"/>
        </w:rPr>
        <w:t>«принудительно</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закрыть позицию», то есть заключить договор, являющийся</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производным финансовым инструментом, или приобрести ценные</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бумаги за счет ваших денежных средств, или продать ваши ценные</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бумаги. Это может быть сделано по существующим, в том числе</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невыгодным, ценам и привести к возникновению у вас убытков.</w:t>
      </w:r>
    </w:p>
    <w:p w14:paraId="0874D6D9"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Вы можете понести значительные </w:t>
      </w:r>
      <w:proofErr w:type="gramStart"/>
      <w:r w:rsidRPr="00E85EC1">
        <w:rPr>
          <w:rFonts w:ascii="Times New Roman" w:hAnsi="Times New Roman" w:cs="Times New Roman"/>
          <w:sz w:val="18"/>
          <w:szCs w:val="18"/>
        </w:rPr>
        <w:t>убытки, несмотря на то, что</w:t>
      </w:r>
      <w:proofErr w:type="gramEnd"/>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после этого изменение цен на финансовые инструменты может</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принять благоприятное для вас направление и вы получили бы доход,</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если бы ваша позиция не была закрыта. Размер указанных убытков при</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неблагоприятном стечении обстоятельств может превысить стоимость</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находящихся на вашем счету активов.</w:t>
      </w:r>
    </w:p>
    <w:p w14:paraId="05630659" w14:textId="77777777" w:rsidR="00EA1DB7" w:rsidRPr="00E85EC1" w:rsidRDefault="00EA1DB7" w:rsidP="0040768D">
      <w:pPr>
        <w:pStyle w:val="a3"/>
        <w:numPr>
          <w:ilvl w:val="0"/>
          <w:numId w:val="5"/>
        </w:num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Риск ликвидности</w:t>
      </w:r>
    </w:p>
    <w:p w14:paraId="42F72AB2"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Трудности с закрытием позиций и потери в цене могут привести к</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увеличению убытков от производных финансовых инструментов по</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сравнению с обычными сделками.</w:t>
      </w:r>
    </w:p>
    <w:p w14:paraId="1F2DC881"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Если ваша инвестиционная стратегия предусматривает</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возможность возникновения необходимости закрытия позиции по</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соответствующему контракту (или заключения сделки с иным</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контрактом, которая снижает риск по данному контракту), обращайте</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внимание на ликвидность соответствующих контрактов, так как</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закрытие позиций по неликвидным контрактам может привести к</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значительным убыткам. Обратите внимание, что, как правило,</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контракты с более отдаленными сроками исполнения менее ликвидны</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по сравнению с контрактами с близкими сроками исполнения.</w:t>
      </w:r>
    </w:p>
    <w:p w14:paraId="3A71CE89"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Если заключенный вами договор, являющийся производным</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финансовым инструментом, неликвиден, и у вас возникла</w:t>
      </w:r>
      <w:r w:rsidR="00535FA1" w:rsidRPr="00E85EC1">
        <w:rPr>
          <w:rFonts w:ascii="Times New Roman" w:hAnsi="Times New Roman" w:cs="Times New Roman"/>
          <w:sz w:val="18"/>
          <w:szCs w:val="18"/>
        </w:rPr>
        <w:t xml:space="preserve"> </w:t>
      </w:r>
      <w:r w:rsidRPr="00E85EC1">
        <w:rPr>
          <w:rFonts w:ascii="Times New Roman" w:hAnsi="Times New Roman" w:cs="Times New Roman"/>
          <w:sz w:val="18"/>
          <w:szCs w:val="18"/>
        </w:rPr>
        <w:t>необходимость закрыть позицию, обязательно рассматривайте</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помимо закрытия позиции по данному контракту альтернативные</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варианты исключения риска посредством заключения сделок с иными</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производными финансовыми инструментами или с базисными</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активами. Использование альтернативных вариантов может привести к</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меньшим убыткам.</w:t>
      </w:r>
    </w:p>
    <w:p w14:paraId="3B0D3729"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Ваши поручения, направленные на ограничение убытков, не всегда</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могут ограничить потери до предполагаемого уровня, так как в рамках</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складывающейся на рынке ситуации исполнение такого поручения по</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указанной вами це</w:t>
      </w:r>
      <w:r w:rsidR="00A97CA0" w:rsidRPr="00E85EC1">
        <w:rPr>
          <w:rFonts w:ascii="Times New Roman" w:hAnsi="Times New Roman" w:cs="Times New Roman"/>
          <w:sz w:val="18"/>
          <w:szCs w:val="18"/>
        </w:rPr>
        <w:t>не может оказаться невозможным.</w:t>
      </w:r>
    </w:p>
    <w:p w14:paraId="0509EE20"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Операции с производными финансовыми инструментами,</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базисным активом которых являются ценные бумаги иностранных</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эмитентов или индексы, рассчитанные по таким ценным бумагам,</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влекут также риски, связанные с иностранным происхождением</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базисного актива.</w:t>
      </w:r>
    </w:p>
    <w:p w14:paraId="6900E703"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Учитывая вышеизложенное, мы рекомендуем вам внимательно</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рассмотреть вопрос о том, являются ли риски, возникающие при</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проведении соответствующих операций, приемлемыми для вас с</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учетом ваших инвестиционных целей и финансовых возможностей.</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Данная Декларация не имеет своей целью заставить вас отказаться от</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 xml:space="preserve">осуществления таких </w:t>
      </w:r>
      <w:r w:rsidRPr="00E85EC1">
        <w:rPr>
          <w:rFonts w:ascii="Times New Roman" w:hAnsi="Times New Roman" w:cs="Times New Roman"/>
          <w:sz w:val="18"/>
          <w:szCs w:val="18"/>
        </w:rPr>
        <w:lastRenderedPageBreak/>
        <w:t>операций, а призвана помочь вам оценить их</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риски и ответственно подойти к решению вопроса о выборе вашей</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инвестиционной стратегии и условий договора с вашим брокером</w:t>
      </w:r>
      <w:r w:rsidR="00A97CA0" w:rsidRPr="00E85EC1">
        <w:rPr>
          <w:rFonts w:ascii="Times New Roman" w:hAnsi="Times New Roman" w:cs="Times New Roman"/>
          <w:sz w:val="18"/>
          <w:szCs w:val="18"/>
        </w:rPr>
        <w:t>.</w:t>
      </w:r>
    </w:p>
    <w:p w14:paraId="62AB506E" w14:textId="77777777" w:rsidR="00EA1DB7" w:rsidRPr="00E85EC1" w:rsidRDefault="00EA1DB7" w:rsidP="00DB1359">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Убедитесь, что настоящая </w:t>
      </w:r>
      <w:r w:rsidR="00A90B65" w:rsidRPr="00E85EC1">
        <w:rPr>
          <w:rFonts w:ascii="Times New Roman" w:hAnsi="Times New Roman" w:cs="Times New Roman"/>
          <w:sz w:val="18"/>
          <w:szCs w:val="18"/>
        </w:rPr>
        <w:t>Декларация</w:t>
      </w:r>
      <w:r w:rsidRPr="00E85EC1">
        <w:rPr>
          <w:rFonts w:ascii="Times New Roman" w:hAnsi="Times New Roman" w:cs="Times New Roman"/>
          <w:sz w:val="18"/>
          <w:szCs w:val="18"/>
        </w:rPr>
        <w:t xml:space="preserve"> о рисках понятна вам, и при</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необходимости получите разъяснения у вашего</w:t>
      </w:r>
      <w:r w:rsidR="00A97CA0" w:rsidRPr="00E85EC1">
        <w:rPr>
          <w:rFonts w:ascii="Times New Roman" w:hAnsi="Times New Roman" w:cs="Times New Roman"/>
          <w:sz w:val="18"/>
          <w:szCs w:val="18"/>
        </w:rPr>
        <w:t xml:space="preserve"> брокера</w:t>
      </w:r>
      <w:r w:rsidRPr="00E85EC1">
        <w:rPr>
          <w:rFonts w:ascii="Times New Roman" w:hAnsi="Times New Roman" w:cs="Times New Roman"/>
          <w:sz w:val="18"/>
          <w:szCs w:val="18"/>
        </w:rPr>
        <w:t xml:space="preserve"> или консультанта, специализирующегося на</w:t>
      </w:r>
      <w:r w:rsidR="00A90B65" w:rsidRPr="00E85EC1">
        <w:rPr>
          <w:rFonts w:ascii="Times New Roman" w:hAnsi="Times New Roman" w:cs="Times New Roman"/>
          <w:sz w:val="18"/>
          <w:szCs w:val="18"/>
        </w:rPr>
        <w:t xml:space="preserve"> </w:t>
      </w:r>
      <w:r w:rsidRPr="00E85EC1">
        <w:rPr>
          <w:rFonts w:ascii="Times New Roman" w:hAnsi="Times New Roman" w:cs="Times New Roman"/>
          <w:sz w:val="18"/>
          <w:szCs w:val="18"/>
        </w:rPr>
        <w:t>соответствующих вопросах.</w:t>
      </w:r>
    </w:p>
    <w:p w14:paraId="61396CD7" w14:textId="77777777" w:rsidR="00DC2F7D" w:rsidRPr="00E85EC1" w:rsidRDefault="00CD72D7" w:rsidP="00CD72D7">
      <w:pPr>
        <w:pStyle w:val="a3"/>
        <w:numPr>
          <w:ilvl w:val="0"/>
          <w:numId w:val="1"/>
        </w:numPr>
        <w:autoSpaceDE w:val="0"/>
        <w:autoSpaceDN w:val="0"/>
        <w:adjustRightInd w:val="0"/>
        <w:spacing w:after="120" w:line="240" w:lineRule="auto"/>
        <w:jc w:val="both"/>
        <w:rPr>
          <w:rFonts w:ascii="Times New Roman" w:hAnsi="Times New Roman" w:cs="Times New Roman"/>
          <w:b/>
          <w:bCs/>
          <w:sz w:val="18"/>
          <w:szCs w:val="18"/>
        </w:rPr>
      </w:pPr>
      <w:r w:rsidRPr="00E85EC1">
        <w:rPr>
          <w:rFonts w:ascii="Times New Roman" w:hAnsi="Times New Roman" w:cs="Times New Roman"/>
          <w:b/>
          <w:bCs/>
          <w:sz w:val="18"/>
          <w:szCs w:val="18"/>
        </w:rPr>
        <w:t>Декларация о рисках, связанных с приобретением иностранных ценных бумаг</w:t>
      </w:r>
    </w:p>
    <w:p w14:paraId="73116EFC" w14:textId="7777777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Целью настоящей Декларации является предоставление клиенту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w:t>
      </w:r>
      <w:r w:rsidR="00B90565" w:rsidRPr="00E85EC1">
        <w:rPr>
          <w:rFonts w:ascii="Times New Roman" w:hAnsi="Times New Roman" w:cs="Times New Roman"/>
          <w:sz w:val="18"/>
          <w:szCs w:val="18"/>
        </w:rPr>
        <w:t>,</w:t>
      </w:r>
      <w:r w:rsidRPr="00E85EC1">
        <w:rPr>
          <w:rFonts w:ascii="Times New Roman" w:hAnsi="Times New Roman" w:cs="Times New Roman"/>
          <w:sz w:val="18"/>
          <w:szCs w:val="18"/>
        </w:rPr>
        <w:t xml:space="preserve"> организованном, фондовом рынке.</w:t>
      </w:r>
    </w:p>
    <w:p w14:paraId="7EDBB58D" w14:textId="7777777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Операциям с иностранными ценными бумагами присущи общие риски, связанные с операциями на рынке ценных бумаг со следующими особенностями.</w:t>
      </w:r>
    </w:p>
    <w:p w14:paraId="4DD0D3BD" w14:textId="77777777" w:rsidR="0040768D" w:rsidRPr="00E85EC1" w:rsidRDefault="0040768D" w:rsidP="00B90565">
      <w:pPr>
        <w:pStyle w:val="a3"/>
        <w:numPr>
          <w:ilvl w:val="0"/>
          <w:numId w:val="9"/>
        </w:num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Системные риски</w:t>
      </w:r>
    </w:p>
    <w:p w14:paraId="5F57DAB1" w14:textId="7777777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14:paraId="486D9AC2" w14:textId="4249E97D"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w:t>
      </w:r>
      <w:r w:rsidR="00301AB7" w:rsidRPr="00E85EC1">
        <w:rPr>
          <w:rFonts w:ascii="Times New Roman" w:hAnsi="Times New Roman" w:cs="Times New Roman"/>
          <w:sz w:val="18"/>
          <w:szCs w:val="18"/>
          <w:lang w:val="en-US"/>
        </w:rPr>
        <w:t>RATINGS</w:t>
      </w:r>
      <w:r w:rsidRPr="00E85EC1">
        <w:rPr>
          <w:rFonts w:ascii="Times New Roman" w:hAnsi="Times New Roman" w:cs="Times New Roman"/>
          <w:sz w:val="18"/>
          <w:szCs w:val="18"/>
        </w:rPr>
        <w:t>, однако следует иметь в виду, что рейтинги являются лишь ориентирами и могут в конкретный момент не соответствовать реальной ситуации.</w:t>
      </w:r>
    </w:p>
    <w:p w14:paraId="2FD6D1E1" w14:textId="7777777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14:paraId="5F3E7090" w14:textId="7777777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В настоящее время законодательство разрешает российскими инвесторами, в том числе не являющимися квалифицированными, приобретение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учет прав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ашим планам.</w:t>
      </w:r>
    </w:p>
    <w:p w14:paraId="79713D9E" w14:textId="77777777" w:rsidR="0040768D" w:rsidRPr="00E85EC1" w:rsidRDefault="0040768D" w:rsidP="00B90565">
      <w:pPr>
        <w:pStyle w:val="a3"/>
        <w:numPr>
          <w:ilvl w:val="0"/>
          <w:numId w:val="9"/>
        </w:num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Правовые риски</w:t>
      </w:r>
    </w:p>
    <w:p w14:paraId="0855D987" w14:textId="7777777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При приобретении иностранных ценных бумаг необходимо отдавать себе отчет в том,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14:paraId="6086BEB9" w14:textId="7777777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бумагами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ы в большинстве случаев не сможете полагаться на защиту своих прав и законных интересов российскими уполномоченными органами.</w:t>
      </w:r>
    </w:p>
    <w:p w14:paraId="2C4F9F44" w14:textId="77777777" w:rsidR="0040768D" w:rsidRPr="00E85EC1" w:rsidRDefault="0040768D" w:rsidP="00B90565">
      <w:pPr>
        <w:pStyle w:val="a3"/>
        <w:numPr>
          <w:ilvl w:val="0"/>
          <w:numId w:val="9"/>
        </w:num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Раскрытие информации</w:t>
      </w:r>
    </w:p>
    <w:p w14:paraId="059DC84D" w14:textId="7777777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1119E839" w14:textId="7777777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w:t>
      </w:r>
      <w:r w:rsidR="0057117E" w:rsidRPr="00E85EC1">
        <w:rPr>
          <w:rFonts w:ascii="Times New Roman" w:hAnsi="Times New Roman" w:cs="Times New Roman"/>
          <w:sz w:val="18"/>
          <w:szCs w:val="18"/>
        </w:rPr>
        <w:t xml:space="preserve">шибок переводчика, в том числе, </w:t>
      </w:r>
      <w:r w:rsidRPr="00E85EC1">
        <w:rPr>
          <w:rFonts w:ascii="Times New Roman" w:hAnsi="Times New Roman" w:cs="Times New Roman"/>
          <w:sz w:val="18"/>
          <w:szCs w:val="18"/>
        </w:rPr>
        <w:t>связанных с возможным различным переводом одних и тех же иностранных слов и фраз или отсутствием общепринятого русского эквивалента.</w:t>
      </w:r>
    </w:p>
    <w:p w14:paraId="29EE99AA" w14:textId="77777777" w:rsidR="00DC2F7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Учитывая вышеизложенное, мы рекомендуем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 xml:space="preserve">ам внимательно рассмотреть вопрос о том, являются ли риски, возникающие при проведении соответствующих операций, приемлемыми для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 xml:space="preserve">ас с учетом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 xml:space="preserve">аших инвестиционных целей и финансовых возможностей. Данная Декларация не имеет своей целью заставить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 xml:space="preserve">ас отказаться от осуществления таких операций, а призвана помочь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ам оценить их риски и ответственно подойти к решению вопроса о выборе Вашей инвестиционной стратегии и условий договора</w:t>
      </w:r>
      <w:r w:rsidR="00B90565" w:rsidRPr="00E85EC1">
        <w:rPr>
          <w:rFonts w:ascii="Times New Roman" w:hAnsi="Times New Roman" w:cs="Times New Roman"/>
          <w:sz w:val="18"/>
          <w:szCs w:val="18"/>
        </w:rPr>
        <w:t xml:space="preserve"> с </w:t>
      </w:r>
      <w:r w:rsidR="0057117E" w:rsidRPr="00E85EC1">
        <w:rPr>
          <w:rFonts w:ascii="Times New Roman" w:hAnsi="Times New Roman" w:cs="Times New Roman"/>
          <w:sz w:val="18"/>
          <w:szCs w:val="18"/>
        </w:rPr>
        <w:t>в</w:t>
      </w:r>
      <w:r w:rsidR="00B90565" w:rsidRPr="00E85EC1">
        <w:rPr>
          <w:rFonts w:ascii="Times New Roman" w:hAnsi="Times New Roman" w:cs="Times New Roman"/>
          <w:sz w:val="18"/>
          <w:szCs w:val="18"/>
        </w:rPr>
        <w:t xml:space="preserve">ашим </w:t>
      </w:r>
      <w:r w:rsidR="0036478D" w:rsidRPr="00E85EC1">
        <w:rPr>
          <w:rFonts w:ascii="Times New Roman" w:hAnsi="Times New Roman" w:cs="Times New Roman"/>
          <w:sz w:val="18"/>
          <w:szCs w:val="18"/>
        </w:rPr>
        <w:t>брокером</w:t>
      </w:r>
      <w:r w:rsidR="0057117E" w:rsidRPr="00E85EC1">
        <w:rPr>
          <w:rFonts w:ascii="Times New Roman" w:hAnsi="Times New Roman" w:cs="Times New Roman"/>
          <w:sz w:val="18"/>
          <w:szCs w:val="18"/>
        </w:rPr>
        <w:t>.</w:t>
      </w:r>
    </w:p>
    <w:p w14:paraId="4189E91F" w14:textId="3D22C346" w:rsidR="0001149D" w:rsidRPr="00E85EC1" w:rsidRDefault="0001149D" w:rsidP="00E85EC1">
      <w:pPr>
        <w:pStyle w:val="a3"/>
        <w:numPr>
          <w:ilvl w:val="0"/>
          <w:numId w:val="1"/>
        </w:numPr>
        <w:autoSpaceDE w:val="0"/>
        <w:autoSpaceDN w:val="0"/>
        <w:adjustRightInd w:val="0"/>
        <w:spacing w:after="120" w:line="240" w:lineRule="auto"/>
        <w:jc w:val="both"/>
        <w:rPr>
          <w:rFonts w:ascii="Times New Roman" w:hAnsi="Times New Roman" w:cs="Times New Roman"/>
          <w:b/>
          <w:bCs/>
          <w:sz w:val="18"/>
          <w:szCs w:val="18"/>
        </w:rPr>
      </w:pPr>
      <w:r w:rsidRPr="00E85EC1">
        <w:rPr>
          <w:rFonts w:ascii="Times New Roman" w:hAnsi="Times New Roman" w:cs="Times New Roman"/>
          <w:b/>
          <w:bCs/>
          <w:sz w:val="18"/>
          <w:szCs w:val="18"/>
        </w:rPr>
        <w:t>Декларация о рисках, связанных с приобретением иностранных облигаций</w:t>
      </w:r>
    </w:p>
    <w:p w14:paraId="62C12659" w14:textId="7271B965" w:rsidR="0001149D" w:rsidRPr="00E85EC1" w:rsidRDefault="0001149D" w:rsidP="0001149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lastRenderedPageBreak/>
        <w:t>Настоящая Декларация раскрывает отдельные специальные риски, связанные с инвестициями в иностранные облигации. Общие риски, связанные с операциями с иностранными ценными бумагами, изложены в Декларации о рисках, связанных с приобретением иностранных ценных бумаг.</w:t>
      </w:r>
    </w:p>
    <w:p w14:paraId="26E9073D" w14:textId="77777777" w:rsidR="0001149D" w:rsidRPr="00E85EC1" w:rsidRDefault="0001149D" w:rsidP="0001149D">
      <w:pPr>
        <w:pStyle w:val="a3"/>
        <w:numPr>
          <w:ilvl w:val="0"/>
          <w:numId w:val="11"/>
        </w:num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Риски, связанные с участием в корпоративных действиях</w:t>
      </w:r>
    </w:p>
    <w:p w14:paraId="54C78002" w14:textId="77777777" w:rsidR="0001149D" w:rsidRPr="00E85EC1" w:rsidRDefault="0001149D" w:rsidP="0001149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При принятии решения об инвестировании денежных средств в иностранные облигации необходимо учитывать, что российские депозитарии, в которых может осуществляться учет прав </w:t>
      </w:r>
      <w:r w:rsidR="00BE1AC9" w:rsidRPr="00E85EC1">
        <w:rPr>
          <w:rFonts w:ascii="Times New Roman" w:hAnsi="Times New Roman" w:cs="Times New Roman"/>
          <w:sz w:val="18"/>
          <w:szCs w:val="18"/>
        </w:rPr>
        <w:t xml:space="preserve">на </w:t>
      </w:r>
      <w:r w:rsidRPr="00E85EC1">
        <w:rPr>
          <w:rFonts w:ascii="Times New Roman" w:hAnsi="Times New Roman" w:cs="Times New Roman"/>
          <w:sz w:val="18"/>
          <w:szCs w:val="18"/>
        </w:rPr>
        <w:t>иностранные облигации</w:t>
      </w:r>
      <w:r w:rsidR="00BE1AC9" w:rsidRPr="00E85EC1">
        <w:rPr>
          <w:rFonts w:ascii="Times New Roman" w:hAnsi="Times New Roman" w:cs="Times New Roman"/>
          <w:sz w:val="18"/>
          <w:szCs w:val="18"/>
        </w:rPr>
        <w:t>, н</w:t>
      </w:r>
      <w:r w:rsidRPr="00E85EC1">
        <w:rPr>
          <w:rFonts w:ascii="Times New Roman" w:hAnsi="Times New Roman" w:cs="Times New Roman"/>
          <w:sz w:val="18"/>
          <w:szCs w:val="18"/>
        </w:rPr>
        <w:t>е могут гарантировать потенциальным инвесторам возможность участия во всех корпоративных действиях иностранных эмитентов облигаций и собраниях владельцев облигаций, поскольку реализация указанных прав зависит от особенностей правового регулирования страны регистрации эмитента и/или страны регистрации иностранной биржи, на которой обращаются иностранные облигации, а также особенностей порядка учета прав в международных центральных депозитариях.</w:t>
      </w:r>
    </w:p>
    <w:p w14:paraId="0486A632" w14:textId="77777777" w:rsidR="0001149D" w:rsidRPr="00E85EC1" w:rsidRDefault="0001149D" w:rsidP="0001149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u w:val="single"/>
        </w:rPr>
        <w:t>Участие в добровольных корпоративных действиях</w:t>
      </w:r>
      <w:r w:rsidRPr="00E85EC1">
        <w:rPr>
          <w:rFonts w:ascii="Times New Roman" w:hAnsi="Times New Roman" w:cs="Times New Roman"/>
          <w:sz w:val="18"/>
          <w:szCs w:val="18"/>
        </w:rPr>
        <w:t xml:space="preserve"> возможно только в случае, если сумма номиналов принадлежащих инвестору иностранных облигаций равна минимальной деноминации или превышает ее. Вместе с тем, эмитентом могут быть установлены условия участия в добровольных корпоративных действиях, не предполагающих наличия каких-либо ограничений по деноминации.</w:t>
      </w:r>
    </w:p>
    <w:p w14:paraId="3CA27AFF" w14:textId="77777777" w:rsidR="0001149D" w:rsidRPr="00E85EC1" w:rsidRDefault="0001149D" w:rsidP="0001149D">
      <w:pPr>
        <w:autoSpaceDE w:val="0"/>
        <w:autoSpaceDN w:val="0"/>
        <w:adjustRightInd w:val="0"/>
        <w:spacing w:after="120" w:line="240" w:lineRule="auto"/>
        <w:jc w:val="both"/>
        <w:rPr>
          <w:rFonts w:ascii="Times New Roman" w:hAnsi="Times New Roman" w:cs="Times New Roman"/>
          <w:sz w:val="18"/>
          <w:szCs w:val="18"/>
          <w:u w:val="single"/>
        </w:rPr>
      </w:pPr>
      <w:r w:rsidRPr="00E85EC1">
        <w:rPr>
          <w:rFonts w:ascii="Times New Roman" w:hAnsi="Times New Roman" w:cs="Times New Roman"/>
          <w:sz w:val="18"/>
          <w:szCs w:val="18"/>
        </w:rPr>
        <w:t xml:space="preserve">Аналогичные риски могут возникнуть при участии в </w:t>
      </w:r>
      <w:r w:rsidRPr="00E85EC1">
        <w:rPr>
          <w:rFonts w:ascii="Times New Roman" w:hAnsi="Times New Roman" w:cs="Times New Roman"/>
          <w:sz w:val="18"/>
          <w:szCs w:val="18"/>
          <w:u w:val="single"/>
        </w:rPr>
        <w:t>обязательных корпоративных действиях.</w:t>
      </w:r>
    </w:p>
    <w:p w14:paraId="40555045" w14:textId="77777777" w:rsidR="0001149D" w:rsidRPr="00E85EC1" w:rsidRDefault="0001149D" w:rsidP="0001149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Потенциальные инвесторы должны внимательно ознакомиться с ограничениями, установленными в проспекте иностранных облигаций относительно участия в добровольных/обязательных корпоративных действиях и принять решение об инвестировании денежных средств в конкретные иностранные облигации с учетом данных ограничений и собственных целей инвестирования.</w:t>
      </w:r>
    </w:p>
    <w:p w14:paraId="23F5336C" w14:textId="77777777" w:rsidR="0001149D" w:rsidRPr="00E85EC1" w:rsidRDefault="0001149D" w:rsidP="0001149D">
      <w:pPr>
        <w:pStyle w:val="a3"/>
        <w:numPr>
          <w:ilvl w:val="0"/>
          <w:numId w:val="11"/>
        </w:num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Риски, связанные с установлением в эмиссионных документах минимальной деноминации</w:t>
      </w:r>
    </w:p>
    <w:p w14:paraId="10C26D3C" w14:textId="77777777" w:rsidR="0001149D" w:rsidRPr="00E85EC1" w:rsidRDefault="0001149D" w:rsidP="0001149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Проспект иностранных облигаций может содержать нормы о минимальной деноминации, устанавливающие ограничение на обращение ценных бумаг в странах ЕС (минимальный торговый лот, доступный к продаже). Проспектом иностранных облигаций также могут быть установлены ограничения по торговле в размере деноминации (минимальный торговый лот, доступный к продаже) в других странах, в которых ценные бумаги эмитента имеют листинг.</w:t>
      </w:r>
    </w:p>
    <w:p w14:paraId="0DE556B7" w14:textId="77777777" w:rsidR="0001149D" w:rsidRPr="00E85EC1" w:rsidRDefault="0001149D" w:rsidP="0001149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Наличие в проспекте иностранных облигаций минимальной деноминации означает, что международные центральные депозитарии смогут учесть торгово-расчетные операции только с объемом ценных бумаг, превышающим или равным деноминации (например, </w:t>
      </w:r>
      <w:r w:rsidRPr="00E85EC1">
        <w:rPr>
          <w:rFonts w:ascii="Times New Roman" w:hAnsi="Times New Roman" w:cs="Times New Roman"/>
          <w:sz w:val="18"/>
          <w:szCs w:val="18"/>
          <w:lang w:val="en-US"/>
        </w:rPr>
        <w:t>USD</w:t>
      </w:r>
      <w:r w:rsidRPr="00E85EC1">
        <w:rPr>
          <w:rFonts w:ascii="Times New Roman" w:hAnsi="Times New Roman" w:cs="Times New Roman"/>
          <w:sz w:val="18"/>
          <w:szCs w:val="18"/>
        </w:rPr>
        <w:t xml:space="preserve"> 100 000) и кратным шагу деноминации (например, </w:t>
      </w:r>
      <w:r w:rsidRPr="00E85EC1">
        <w:rPr>
          <w:rFonts w:ascii="Times New Roman" w:hAnsi="Times New Roman" w:cs="Times New Roman"/>
          <w:sz w:val="18"/>
          <w:szCs w:val="18"/>
          <w:lang w:val="en-US"/>
        </w:rPr>
        <w:t>USD</w:t>
      </w:r>
      <w:r w:rsidRPr="00E85EC1">
        <w:rPr>
          <w:rFonts w:ascii="Times New Roman" w:hAnsi="Times New Roman" w:cs="Times New Roman"/>
          <w:sz w:val="18"/>
          <w:szCs w:val="18"/>
        </w:rPr>
        <w:t xml:space="preserve"> 1000). Соответственно, наличие в проспекте иностранных облигаций таких ограничений может повлечь риски, связанные с отсутствием у инвестора возможности перевести иностранные ценные бумаги в </w:t>
      </w:r>
      <w:proofErr w:type="spellStart"/>
      <w:r w:rsidRPr="00E85EC1">
        <w:rPr>
          <w:rFonts w:ascii="Times New Roman" w:hAnsi="Times New Roman" w:cs="Times New Roman"/>
          <w:sz w:val="18"/>
          <w:szCs w:val="18"/>
          <w:lang w:val="en-US"/>
        </w:rPr>
        <w:t>Clearstream</w:t>
      </w:r>
      <w:proofErr w:type="spellEnd"/>
      <w:r w:rsidRPr="00E85EC1">
        <w:rPr>
          <w:rFonts w:ascii="Times New Roman" w:hAnsi="Times New Roman" w:cs="Times New Roman"/>
          <w:sz w:val="18"/>
          <w:szCs w:val="18"/>
        </w:rPr>
        <w:t xml:space="preserve"> и/или </w:t>
      </w:r>
      <w:r w:rsidRPr="00E85EC1">
        <w:rPr>
          <w:rFonts w:ascii="Times New Roman" w:hAnsi="Times New Roman" w:cs="Times New Roman"/>
          <w:sz w:val="18"/>
          <w:szCs w:val="18"/>
          <w:lang w:val="en-US"/>
        </w:rPr>
        <w:t>Euroclear</w:t>
      </w:r>
      <w:r w:rsidRPr="00E85EC1">
        <w:rPr>
          <w:rFonts w:ascii="Times New Roman" w:hAnsi="Times New Roman" w:cs="Times New Roman"/>
          <w:sz w:val="18"/>
          <w:szCs w:val="18"/>
        </w:rPr>
        <w:t>.</w:t>
      </w:r>
    </w:p>
    <w:p w14:paraId="323C5BA2" w14:textId="77777777" w:rsidR="0001149D" w:rsidRPr="00E85EC1" w:rsidRDefault="0001149D" w:rsidP="0001149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Для инвесторов, которые приобрели в Российской Федерации пакет иностранных облигаций общим объемом, который меньше установленного размера минимальной деноминации, и которые намерены вывести облигации для расчетов в </w:t>
      </w:r>
      <w:proofErr w:type="spellStart"/>
      <w:r w:rsidRPr="00E85EC1">
        <w:rPr>
          <w:rFonts w:ascii="Times New Roman" w:hAnsi="Times New Roman" w:cs="Times New Roman"/>
          <w:sz w:val="18"/>
          <w:szCs w:val="18"/>
          <w:lang w:val="en-US"/>
        </w:rPr>
        <w:t>Clesrstream</w:t>
      </w:r>
      <w:proofErr w:type="spellEnd"/>
      <w:r w:rsidRPr="00E85EC1">
        <w:rPr>
          <w:rFonts w:ascii="Times New Roman" w:hAnsi="Times New Roman" w:cs="Times New Roman"/>
          <w:sz w:val="18"/>
          <w:szCs w:val="18"/>
        </w:rPr>
        <w:t xml:space="preserve"> и/или </w:t>
      </w:r>
      <w:r w:rsidRPr="00E85EC1">
        <w:rPr>
          <w:rFonts w:ascii="Times New Roman" w:hAnsi="Times New Roman" w:cs="Times New Roman"/>
          <w:sz w:val="18"/>
          <w:szCs w:val="18"/>
          <w:lang w:val="en-US"/>
        </w:rPr>
        <w:t>Euroclear</w:t>
      </w:r>
      <w:r w:rsidRPr="00E85EC1">
        <w:rPr>
          <w:rFonts w:ascii="Times New Roman" w:hAnsi="Times New Roman" w:cs="Times New Roman"/>
          <w:sz w:val="18"/>
          <w:szCs w:val="18"/>
        </w:rPr>
        <w:t xml:space="preserve">, наличие в проспекте иностранных облигаций требований к минимальной деноминации, может повлечь риски, связанные с отказом </w:t>
      </w:r>
      <w:proofErr w:type="spellStart"/>
      <w:r w:rsidRPr="00E85EC1">
        <w:rPr>
          <w:rFonts w:ascii="Times New Roman" w:hAnsi="Times New Roman" w:cs="Times New Roman"/>
          <w:sz w:val="18"/>
          <w:szCs w:val="18"/>
          <w:lang w:val="en-US"/>
        </w:rPr>
        <w:t>Clesrstream</w:t>
      </w:r>
      <w:proofErr w:type="spellEnd"/>
      <w:r w:rsidRPr="00E85EC1">
        <w:rPr>
          <w:rFonts w:ascii="Times New Roman" w:hAnsi="Times New Roman" w:cs="Times New Roman"/>
          <w:sz w:val="18"/>
          <w:szCs w:val="18"/>
        </w:rPr>
        <w:t xml:space="preserve"> и/или </w:t>
      </w:r>
      <w:r w:rsidRPr="00E85EC1">
        <w:rPr>
          <w:rFonts w:ascii="Times New Roman" w:hAnsi="Times New Roman" w:cs="Times New Roman"/>
          <w:sz w:val="18"/>
          <w:szCs w:val="18"/>
          <w:lang w:val="en-US"/>
        </w:rPr>
        <w:t>Euroclear</w:t>
      </w:r>
      <w:r w:rsidRPr="00E85EC1">
        <w:rPr>
          <w:rFonts w:ascii="Times New Roman" w:hAnsi="Times New Roman" w:cs="Times New Roman"/>
          <w:sz w:val="18"/>
          <w:szCs w:val="18"/>
        </w:rPr>
        <w:t xml:space="preserve"> осуществить операцию, и необходимость приобрести дополнительно к своему пакету облигации для выполнения требования к минимальной деноминации (данные риски отсутствуют в случае расчетов в российском депозитарии).</w:t>
      </w:r>
    </w:p>
    <w:p w14:paraId="509435AF" w14:textId="77777777" w:rsidR="0001149D" w:rsidRPr="00E85EC1" w:rsidRDefault="0001149D" w:rsidP="0001149D">
      <w:pPr>
        <w:pStyle w:val="a3"/>
        <w:numPr>
          <w:ilvl w:val="0"/>
          <w:numId w:val="11"/>
        </w:num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Правовые риски</w:t>
      </w:r>
    </w:p>
    <w:p w14:paraId="60DC60A0" w14:textId="77777777" w:rsidR="0001149D" w:rsidRPr="00E85EC1" w:rsidRDefault="0001149D" w:rsidP="0001149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При приобретении иностранных облигаций необходимо иметь в виду, что они не всегда являются аналогами российских облигаций. В любом случае, предоставляемые по ним права и правила их осуществления могут существенно отличаться от прав по российским облигациям, в частности, иностранная облигация может не предусматривать право ее владельца на получение от эмитента облигации в предусмотренный в ней срок ее полной номинальной стоимости или иного имущественного эквивалента при наступлении событий или условий, предусмотренных эмиссионными документами.</w:t>
      </w:r>
    </w:p>
    <w:p w14:paraId="0173C31B" w14:textId="77777777" w:rsidR="0001149D" w:rsidRPr="00E85EC1" w:rsidRDefault="0001149D" w:rsidP="0001149D">
      <w:pPr>
        <w:pStyle w:val="a3"/>
        <w:numPr>
          <w:ilvl w:val="0"/>
          <w:numId w:val="11"/>
        </w:num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Геополитические риски</w:t>
      </w:r>
    </w:p>
    <w:p w14:paraId="51108247" w14:textId="77777777" w:rsidR="0001149D" w:rsidRPr="00E85EC1" w:rsidRDefault="0001149D" w:rsidP="0001149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При принятии инвестиционных решений потенциальные инвестор должен внимательно ознакомиться с геополитическими рисками, в т.ч. с наличием санкций в отношении эмитента (лица, выдавшего иностранные облигации), заемщика, кредитной организации, в которой открыт счет, депозитария, </w:t>
      </w:r>
      <w:r w:rsidR="00EF2511" w:rsidRPr="00E85EC1">
        <w:rPr>
          <w:rFonts w:ascii="Times New Roman" w:hAnsi="Times New Roman" w:cs="Times New Roman"/>
          <w:sz w:val="18"/>
          <w:szCs w:val="18"/>
        </w:rPr>
        <w:t>в</w:t>
      </w:r>
      <w:r w:rsidRPr="00E85EC1">
        <w:rPr>
          <w:rFonts w:ascii="Times New Roman" w:hAnsi="Times New Roman" w:cs="Times New Roman"/>
          <w:sz w:val="18"/>
          <w:szCs w:val="18"/>
        </w:rPr>
        <w:t xml:space="preserve"> котором будут учитываться права на иностранные облигации. В случае наличия каких-либо законодательных и/или регулятивных ограничений и/или санкций в отношении указанных выше организаций, а также самого инвестора, инвестор несет риски, связанные с неполучением выплаты номинальной стоимости и купонного дохода по иностранным облигациям в валюте номинальной стоимости. В случае отсутствия у лица, получающего выплату по иностранным облигациям, счета, позволяющего зачислить денежные средства в иностранной валюте, инвестор несет риск получения сумм по иностранным облигациям в рублях Российской Федерации по курсу, установленному кредитной организацией в соответствии с внутренними правилами такой кредитной организации.</w:t>
      </w:r>
    </w:p>
    <w:p w14:paraId="0162C2BA" w14:textId="77777777" w:rsidR="0001149D" w:rsidRPr="00E85EC1" w:rsidRDefault="0001149D" w:rsidP="0001149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Приобретатель иностранных облигаций самостоятельно оценивает и несет риск того, что законодательство Российской Федерации может содержать запрет на инвестирование денежных средств в определенные иностранные облигации.</w:t>
      </w:r>
    </w:p>
    <w:p w14:paraId="44D50BD9" w14:textId="77777777" w:rsidR="0001149D" w:rsidRPr="00E85EC1" w:rsidRDefault="0001149D" w:rsidP="0001149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Приобретатель иностранных облигаций самостоятельно оценивает и несет риск того, что личный закон депозитария, в котором ему открыт счет депо, предназначенный для учета прав на иностранные облигации или личный закон депозитария/международного центрального депозитария, по счету депо которого должна пройти транзакция иностранных облигаций, запрещает данному депозитарию содействовать финансированию в иностранные облигации эмитента.</w:t>
      </w:r>
    </w:p>
    <w:p w14:paraId="3C34591A" w14:textId="77777777" w:rsidR="0001149D" w:rsidRPr="00E85EC1" w:rsidRDefault="0001149D" w:rsidP="0001149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Приобретатель иностранных облигаций самостоятельно оценивает и несет риск того, что личный закон кредитной организации, в которой приобретатель открывает валютный банковский счет в иностранной валюте или личный закон кредитной организации, по корреспондентскому счету которой должны пройти выплаты доходов по иностранным </w:t>
      </w:r>
      <w:r w:rsidRPr="00E85EC1">
        <w:rPr>
          <w:rFonts w:ascii="Times New Roman" w:hAnsi="Times New Roman" w:cs="Times New Roman"/>
          <w:sz w:val="18"/>
          <w:szCs w:val="18"/>
        </w:rPr>
        <w:lastRenderedPageBreak/>
        <w:t>облигациям в денежной форме и иные причитающиеся владельцам таких ценных бумаг денежные выплаты, запрещает такой кредитной организации участвовать в переводе средств, предназначенных для указанных выплат по иностранным облигациям.</w:t>
      </w:r>
    </w:p>
    <w:p w14:paraId="3F4B1482" w14:textId="77777777" w:rsidR="0001149D" w:rsidRPr="00E85EC1" w:rsidRDefault="0001149D" w:rsidP="0001149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Перечень рисков, приведенный в настоящей Декларации, не является исчерпывающим.</w:t>
      </w:r>
    </w:p>
    <w:p w14:paraId="3E5EA5CE" w14:textId="77777777" w:rsidR="0001149D" w:rsidRPr="00E85EC1" w:rsidRDefault="0001149D" w:rsidP="0001149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500B9CDD" w14:textId="77777777" w:rsidR="00DC2F7D" w:rsidRPr="00E85EC1" w:rsidRDefault="00CD72D7" w:rsidP="00CD72D7">
      <w:pPr>
        <w:pStyle w:val="a3"/>
        <w:numPr>
          <w:ilvl w:val="0"/>
          <w:numId w:val="1"/>
        </w:numPr>
        <w:autoSpaceDE w:val="0"/>
        <w:autoSpaceDN w:val="0"/>
        <w:adjustRightInd w:val="0"/>
        <w:spacing w:after="120" w:line="240" w:lineRule="auto"/>
        <w:jc w:val="both"/>
        <w:rPr>
          <w:rFonts w:ascii="Times New Roman" w:hAnsi="Times New Roman" w:cs="Times New Roman"/>
          <w:b/>
          <w:bCs/>
          <w:sz w:val="18"/>
          <w:szCs w:val="18"/>
        </w:rPr>
      </w:pPr>
      <w:r w:rsidRPr="00E85EC1">
        <w:rPr>
          <w:rFonts w:ascii="Times New Roman" w:hAnsi="Times New Roman" w:cs="Times New Roman"/>
          <w:b/>
          <w:bCs/>
          <w:sz w:val="18"/>
          <w:szCs w:val="18"/>
        </w:rPr>
        <w:t>Декларация о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p>
    <w:p w14:paraId="688D99A2" w14:textId="7777777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Цель настоящей Декларации - предоставить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а</w:t>
      </w:r>
      <w:r w:rsidR="00B90565" w:rsidRPr="00E85EC1">
        <w:rPr>
          <w:rFonts w:ascii="Times New Roman" w:hAnsi="Times New Roman" w:cs="Times New Roman"/>
          <w:sz w:val="18"/>
          <w:szCs w:val="18"/>
        </w:rPr>
        <w:t xml:space="preserve">м общую информацию об основных </w:t>
      </w:r>
      <w:r w:rsidRPr="00E85EC1">
        <w:rPr>
          <w:rFonts w:ascii="Times New Roman" w:hAnsi="Times New Roman" w:cs="Times New Roman"/>
          <w:sz w:val="18"/>
          <w:szCs w:val="18"/>
        </w:rPr>
        <w:t>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(далее – производные финансовые инструменты с иностранным базисным активом). Заключение указанных договоров связано с рисками, характерными для всех производных финансовых инструментов, а также специфическими рисками, обусловленными иностранным происхождением базисного актива.</w:t>
      </w:r>
    </w:p>
    <w:p w14:paraId="1B4BC368" w14:textId="77777777" w:rsidR="0040768D" w:rsidRPr="00E85EC1" w:rsidRDefault="0040768D" w:rsidP="0040768D">
      <w:pPr>
        <w:pStyle w:val="a3"/>
        <w:numPr>
          <w:ilvl w:val="0"/>
          <w:numId w:val="6"/>
        </w:num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Риски, связанные производными финансовыми инструментами</w:t>
      </w:r>
    </w:p>
    <w:p w14:paraId="4494214E" w14:textId="7777777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Данные инструменты подходят не всем клиентам. Более того, некоторые виды производных финансовых инструментов сопряжены с большим уровнем риска, чем другие. Так, при покупке опционного контракта потери клиента не превысят величину уплаченных премии, вознаграждения и расходов, связанных с их совершением. Продажа опционных контрактов с точки зрения риска клиента и заключение фьючерсных контрактов, форвардных контрактов и своп контрактов сопоставимы - при относительно небольших неблагоприятных колебаниях цен на рынке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ы подвергаетесь риску значительных убытков, при этом в случае продажи фьючерсных и форвардных контрактов и продажи опционов на покупку (опционов «колл») неограниченных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14:paraId="01CE93D8" w14:textId="77777777" w:rsidR="0040768D" w:rsidRPr="00E85EC1" w:rsidRDefault="0057117E"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Настоящая Д</w:t>
      </w:r>
      <w:r w:rsidR="0040768D" w:rsidRPr="00E85EC1">
        <w:rPr>
          <w:rFonts w:ascii="Times New Roman" w:hAnsi="Times New Roman" w:cs="Times New Roman"/>
          <w:sz w:val="18"/>
          <w:szCs w:val="18"/>
        </w:rPr>
        <w:t xml:space="preserve">екларация относится также и к производным финансовым инструментам, направленным на снижение рисков других операций на фондовом рынке. Внимательно оцените, как </w:t>
      </w:r>
      <w:r w:rsidRPr="00E85EC1">
        <w:rPr>
          <w:rFonts w:ascii="Times New Roman" w:hAnsi="Times New Roman" w:cs="Times New Roman"/>
          <w:sz w:val="18"/>
          <w:szCs w:val="18"/>
        </w:rPr>
        <w:t>в</w:t>
      </w:r>
      <w:r w:rsidR="0040768D" w:rsidRPr="00E85EC1">
        <w:rPr>
          <w:rFonts w:ascii="Times New Roman" w:hAnsi="Times New Roman" w:cs="Times New Roman"/>
          <w:sz w:val="18"/>
          <w:szCs w:val="18"/>
        </w:rPr>
        <w:t xml:space="preserve">аши производные финансовые инструменты соотносятся с операциями, риски по которым </w:t>
      </w:r>
      <w:r w:rsidRPr="00E85EC1">
        <w:rPr>
          <w:rFonts w:ascii="Times New Roman" w:hAnsi="Times New Roman" w:cs="Times New Roman"/>
          <w:sz w:val="18"/>
          <w:szCs w:val="18"/>
        </w:rPr>
        <w:t>в</w:t>
      </w:r>
      <w:r w:rsidR="0040768D" w:rsidRPr="00E85EC1">
        <w:rPr>
          <w:rFonts w:ascii="Times New Roman" w:hAnsi="Times New Roman" w:cs="Times New Roman"/>
          <w:sz w:val="18"/>
          <w:szCs w:val="18"/>
        </w:rPr>
        <w:t xml:space="preserve">ы намерены ограничить, и убедитесь, что объем </w:t>
      </w:r>
      <w:r w:rsidRPr="00E85EC1">
        <w:rPr>
          <w:rFonts w:ascii="Times New Roman" w:hAnsi="Times New Roman" w:cs="Times New Roman"/>
          <w:sz w:val="18"/>
          <w:szCs w:val="18"/>
        </w:rPr>
        <w:t>в</w:t>
      </w:r>
      <w:r w:rsidR="0040768D" w:rsidRPr="00E85EC1">
        <w:rPr>
          <w:rFonts w:ascii="Times New Roman" w:hAnsi="Times New Roman" w:cs="Times New Roman"/>
          <w:sz w:val="18"/>
          <w:szCs w:val="18"/>
        </w:rPr>
        <w:t xml:space="preserve">ашей позиции на срочном рынке соответствует объему позиции на спот рынке, которую </w:t>
      </w:r>
      <w:r w:rsidRPr="00E85EC1">
        <w:rPr>
          <w:rFonts w:ascii="Times New Roman" w:hAnsi="Times New Roman" w:cs="Times New Roman"/>
          <w:sz w:val="18"/>
          <w:szCs w:val="18"/>
        </w:rPr>
        <w:t>в</w:t>
      </w:r>
      <w:r w:rsidR="0040768D" w:rsidRPr="00E85EC1">
        <w:rPr>
          <w:rFonts w:ascii="Times New Roman" w:hAnsi="Times New Roman" w:cs="Times New Roman"/>
          <w:sz w:val="18"/>
          <w:szCs w:val="18"/>
        </w:rPr>
        <w:t>ы хеджируете.</w:t>
      </w:r>
    </w:p>
    <w:p w14:paraId="6D0A6529" w14:textId="77777777" w:rsidR="0040768D" w:rsidRPr="00E85EC1" w:rsidRDefault="0040768D" w:rsidP="00B90565">
      <w:pPr>
        <w:pStyle w:val="a3"/>
        <w:numPr>
          <w:ilvl w:val="0"/>
          <w:numId w:val="7"/>
        </w:num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Рыночный (ценовой) риск</w:t>
      </w:r>
    </w:p>
    <w:p w14:paraId="42D7CFBB" w14:textId="7777777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Помимо общего рыночного (ценового) риска, который несет клиент, совершающий операции на рынке ценных бумаг,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ы, в случае заключения фьючерсных, форвардных и своп договоров (контрактов), а также в случае продажи опционных контрактов,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w:t>
      </w:r>
    </w:p>
    <w:p w14:paraId="6C4910D2" w14:textId="7777777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В случае неблагоприятного изменения цены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 xml:space="preserve">ы можете в сравнительно короткий срок потерять средства, являющиеся обеспечением производных финансовых инструментов. </w:t>
      </w:r>
    </w:p>
    <w:p w14:paraId="4A174AF7" w14:textId="77777777" w:rsidR="0040768D" w:rsidRPr="00E85EC1" w:rsidRDefault="0040768D" w:rsidP="00B90565">
      <w:pPr>
        <w:pStyle w:val="a3"/>
        <w:numPr>
          <w:ilvl w:val="0"/>
          <w:numId w:val="7"/>
        </w:num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Риск ликвидности </w:t>
      </w:r>
    </w:p>
    <w:p w14:paraId="7AA3B72D" w14:textId="7777777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Если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аша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дополнительным убыткам в связи с их низкой ликвидностью.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14:paraId="75B72431" w14:textId="7777777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Если заключенный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 xml:space="preserve">ами договор, являющийся производным финансовым инструментом, неликвиден, и у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ас возникла необходимость закрыть позицию, обязательно рассматривайте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14:paraId="0DF46CE8" w14:textId="7777777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При этом труд</w:t>
      </w:r>
      <w:r w:rsidR="00B90565" w:rsidRPr="00E85EC1">
        <w:rPr>
          <w:rFonts w:ascii="Times New Roman" w:hAnsi="Times New Roman" w:cs="Times New Roman"/>
          <w:sz w:val="18"/>
          <w:szCs w:val="18"/>
        </w:rPr>
        <w:t xml:space="preserve">ности с закрытием позиций </w:t>
      </w:r>
      <w:r w:rsidRPr="00E85EC1">
        <w:rPr>
          <w:rFonts w:ascii="Times New Roman" w:hAnsi="Times New Roman" w:cs="Times New Roman"/>
          <w:sz w:val="18"/>
          <w:szCs w:val="18"/>
        </w:rPr>
        <w:t xml:space="preserve">и потери в цене могут привести к увеличению убытков по сравнению с обычными сделками. </w:t>
      </w:r>
    </w:p>
    <w:p w14:paraId="7502B28E" w14:textId="7777777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ами цене может оказаться невозможным.</w:t>
      </w:r>
    </w:p>
    <w:p w14:paraId="0388ED39" w14:textId="77777777" w:rsidR="0040768D" w:rsidRPr="00E85EC1" w:rsidRDefault="0040768D" w:rsidP="00B90565">
      <w:pPr>
        <w:pStyle w:val="a3"/>
        <w:numPr>
          <w:ilvl w:val="0"/>
          <w:numId w:val="7"/>
        </w:num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Ограничение распоряжения средст</w:t>
      </w:r>
      <w:r w:rsidR="0057117E" w:rsidRPr="00E85EC1">
        <w:rPr>
          <w:rFonts w:ascii="Times New Roman" w:hAnsi="Times New Roman" w:cs="Times New Roman"/>
          <w:sz w:val="18"/>
          <w:szCs w:val="18"/>
        </w:rPr>
        <w:t>вами, являющимися обеспечением</w:t>
      </w:r>
    </w:p>
    <w:p w14:paraId="37014C18" w14:textId="7777777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Имущество (часть имущества), принадлежащее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 xml:space="preserve">ам, в результате заключения договора, являющегося производным финансовым инструментом, будет являться обеспечением исполнения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 xml:space="preserve">аших обязательств по договору и распоряжение им, то есть возможность совершения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 xml:space="preserve">ами сделок с ним, будет ограничено. Размер обеспечения изменяется в порядке, </w:t>
      </w:r>
      <w:r w:rsidRPr="00E85EC1">
        <w:rPr>
          <w:rFonts w:ascii="Times New Roman" w:hAnsi="Times New Roman" w:cs="Times New Roman"/>
          <w:sz w:val="18"/>
          <w:szCs w:val="18"/>
        </w:rPr>
        <w:lastRenderedPageBreak/>
        <w:t xml:space="preserve">предусмотренном договором (спецификацией контракта), и в результате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ы можете быть ограничены в возможности распоряжаться своим имуществом в большей степени, чем до заключения договора.</w:t>
      </w:r>
    </w:p>
    <w:p w14:paraId="47D10AE3" w14:textId="77777777" w:rsidR="0040768D" w:rsidRPr="00E85EC1" w:rsidRDefault="0040768D" w:rsidP="00B90565">
      <w:pPr>
        <w:pStyle w:val="a3"/>
        <w:numPr>
          <w:ilvl w:val="0"/>
          <w:numId w:val="6"/>
        </w:num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Риск принудительного закрытия позиции</w:t>
      </w:r>
    </w:p>
    <w:p w14:paraId="399B7BF5" w14:textId="0FE25E5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w:t>
      </w:r>
      <w:r w:rsidR="00C21651" w:rsidRPr="00E85EC1">
        <w:rPr>
          <w:rFonts w:ascii="Times New Roman" w:hAnsi="Times New Roman" w:cs="Times New Roman"/>
          <w:sz w:val="18"/>
          <w:szCs w:val="18"/>
        </w:rPr>
        <w:t>договора о брокерском обслуживании</w:t>
      </w:r>
      <w:r w:rsidRPr="00E85EC1">
        <w:rPr>
          <w:rFonts w:ascii="Times New Roman" w:hAnsi="Times New Roman" w:cs="Times New Roman"/>
          <w:sz w:val="18"/>
          <w:szCs w:val="18"/>
        </w:rPr>
        <w:t xml:space="preserve">, что должно быть сделано в короткий срок, которого может быть недостаточно для </w:t>
      </w:r>
      <w:r w:rsidR="0057117E" w:rsidRPr="00E85EC1">
        <w:rPr>
          <w:rFonts w:ascii="Times New Roman" w:hAnsi="Times New Roman" w:cs="Times New Roman"/>
          <w:sz w:val="18"/>
          <w:szCs w:val="18"/>
        </w:rPr>
        <w:t>в</w:t>
      </w:r>
      <w:r w:rsidR="0090551B" w:rsidRPr="00E85EC1">
        <w:rPr>
          <w:rFonts w:ascii="Times New Roman" w:hAnsi="Times New Roman" w:cs="Times New Roman"/>
          <w:sz w:val="18"/>
          <w:szCs w:val="18"/>
        </w:rPr>
        <w:t>ас. в</w:t>
      </w:r>
      <w:r w:rsidRPr="00E85EC1">
        <w:rPr>
          <w:rFonts w:ascii="Times New Roman" w:hAnsi="Times New Roman" w:cs="Times New Roman"/>
          <w:sz w:val="18"/>
          <w:szCs w:val="18"/>
        </w:rPr>
        <w:t xml:space="preserve">аш брокер в этом случае вправе без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 xml:space="preserve">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 xml:space="preserve">аших денежных средств, или продать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 xml:space="preserve">аши ценные бумаги. Это может быть сделано по существующим, в том числе невыгодным, ценам и привести к возникновению у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ас убытков.</w:t>
      </w:r>
    </w:p>
    <w:p w14:paraId="1CEF4983" w14:textId="7777777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Принудительное закрытие позиции направлено на управление рисками. Вы можете понести значительные убытки несмотря на то, что после этого изменение цен на финансовые инструменты может принять благоприятное для </w:t>
      </w:r>
      <w:r w:rsidR="0057117E" w:rsidRPr="00E85EC1">
        <w:rPr>
          <w:rFonts w:ascii="Times New Roman" w:hAnsi="Times New Roman" w:cs="Times New Roman"/>
          <w:sz w:val="18"/>
          <w:szCs w:val="18"/>
        </w:rPr>
        <w:t>вас направление и в</w:t>
      </w:r>
      <w:r w:rsidRPr="00E85EC1">
        <w:rPr>
          <w:rFonts w:ascii="Times New Roman" w:hAnsi="Times New Roman" w:cs="Times New Roman"/>
          <w:sz w:val="18"/>
          <w:szCs w:val="18"/>
        </w:rPr>
        <w:t xml:space="preserve">ы получили бы доход, если бы </w:t>
      </w:r>
      <w:r w:rsidR="0057117E" w:rsidRPr="00E85EC1">
        <w:rPr>
          <w:rFonts w:ascii="Times New Roman" w:hAnsi="Times New Roman" w:cs="Times New Roman"/>
          <w:sz w:val="18"/>
          <w:szCs w:val="18"/>
        </w:rPr>
        <w:t>в</w:t>
      </w:r>
      <w:r w:rsidRPr="00E85EC1">
        <w:rPr>
          <w:rFonts w:ascii="Times New Roman" w:hAnsi="Times New Roman" w:cs="Times New Roman"/>
          <w:sz w:val="18"/>
          <w:szCs w:val="18"/>
        </w:rPr>
        <w:t xml:space="preserve">аша позиция не была закрыта. </w:t>
      </w:r>
    </w:p>
    <w:p w14:paraId="22E3E276" w14:textId="77777777" w:rsidR="0040768D" w:rsidRPr="00E85EC1" w:rsidRDefault="0040768D" w:rsidP="00B90565">
      <w:pPr>
        <w:pStyle w:val="a3"/>
        <w:numPr>
          <w:ilvl w:val="0"/>
          <w:numId w:val="6"/>
        </w:num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Риски, обусловленные иностранным происхождением базисного актива</w:t>
      </w:r>
    </w:p>
    <w:p w14:paraId="1B73815E" w14:textId="77777777" w:rsidR="0040768D" w:rsidRPr="00E85EC1" w:rsidRDefault="0040768D" w:rsidP="00B90565">
      <w:pPr>
        <w:pStyle w:val="a3"/>
        <w:numPr>
          <w:ilvl w:val="0"/>
          <w:numId w:val="8"/>
        </w:num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Системные риски</w:t>
      </w:r>
    </w:p>
    <w:p w14:paraId="3936A4FA" w14:textId="7777777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Применительно к базисному активу производных финансовых инструментов – ценным бумагам иностранных эмитентов и индексам, рассчитанным по таким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иностранным ценным бумагам.</w:t>
      </w:r>
    </w:p>
    <w:p w14:paraId="0063DCA5" w14:textId="288F3648"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является «суверенный рейтинг» в иностранной или национальной валюте, присвоенный стране, в которой зарегистрирован эмитент иностранной ценной бумаги, международными рейтинговыми агентствами MOODY’S, STANDARD &amp; POOR'S, FITCH </w:t>
      </w:r>
      <w:r w:rsidR="00687BDA" w:rsidRPr="00E85EC1">
        <w:rPr>
          <w:rFonts w:ascii="Times New Roman" w:hAnsi="Times New Roman" w:cs="Times New Roman"/>
          <w:sz w:val="18"/>
          <w:szCs w:val="18"/>
          <w:lang w:val="en-US"/>
        </w:rPr>
        <w:t>RATINGS</w:t>
      </w:r>
      <w:r w:rsidRPr="00E85EC1">
        <w:rPr>
          <w:rFonts w:ascii="Times New Roman" w:hAnsi="Times New Roman" w:cs="Times New Roman"/>
          <w:sz w:val="18"/>
          <w:szCs w:val="18"/>
        </w:rPr>
        <w:t>, однако следует иметь в виду, что рейтинги являются лишь ориентирами и могут в конкретный момент не соответствовать реальной ситуации.</w:t>
      </w:r>
    </w:p>
    <w:p w14:paraId="121466E8" w14:textId="7777777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В настоящее время законодательство допускает возможность заключения российскими инвесторами договоров, являющихся российскими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Между тем, существуют риски изменения регулятивных подходов к соответствующим операциям, в результате чего может возникнуть необходимость совершать сделки, направленные на прекращение обязательств п</w:t>
      </w:r>
      <w:r w:rsidR="0090551B" w:rsidRPr="00E85EC1">
        <w:rPr>
          <w:rFonts w:ascii="Times New Roman" w:hAnsi="Times New Roman" w:cs="Times New Roman"/>
          <w:sz w:val="18"/>
          <w:szCs w:val="18"/>
        </w:rPr>
        <w:t>о указанным договорам, вопреки в</w:t>
      </w:r>
      <w:r w:rsidRPr="00E85EC1">
        <w:rPr>
          <w:rFonts w:ascii="Times New Roman" w:hAnsi="Times New Roman" w:cs="Times New Roman"/>
          <w:sz w:val="18"/>
          <w:szCs w:val="18"/>
        </w:rPr>
        <w:t>ашим планам.</w:t>
      </w:r>
    </w:p>
    <w:p w14:paraId="33BC9844" w14:textId="77777777" w:rsidR="0040768D" w:rsidRPr="00E85EC1" w:rsidRDefault="0040768D" w:rsidP="00B90565">
      <w:pPr>
        <w:pStyle w:val="a3"/>
        <w:numPr>
          <w:ilvl w:val="0"/>
          <w:numId w:val="8"/>
        </w:num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Правовые риски</w:t>
      </w:r>
    </w:p>
    <w:p w14:paraId="652A4392" w14:textId="7777777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Необходимо отдавать себе отчет в том, что иностранные финансовые инструменты, являющиеся базисными активами производных финансовых инструментов, не всегда являются аналогами российских финансовых инструментов. В любом случае, предоставляемые по ним права и правила их осуществления могут существенно отличаться от прав по российским финансовым инструментам.</w:t>
      </w:r>
    </w:p>
    <w:p w14:paraId="216F2669" w14:textId="7777777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Возможности судебной защиты прав по производным финансовым инструментам с иностранным базисным активом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w:t>
      </w:r>
      <w:r w:rsidR="0090551B" w:rsidRPr="00E85EC1">
        <w:rPr>
          <w:rFonts w:ascii="Times New Roman" w:hAnsi="Times New Roman" w:cs="Times New Roman"/>
          <w:sz w:val="18"/>
          <w:szCs w:val="18"/>
        </w:rPr>
        <w:t>ствующих в России. Кроме того, в</w:t>
      </w:r>
      <w:r w:rsidRPr="00E85EC1">
        <w:rPr>
          <w:rFonts w:ascii="Times New Roman" w:hAnsi="Times New Roman" w:cs="Times New Roman"/>
          <w:sz w:val="18"/>
          <w:szCs w:val="18"/>
        </w:rPr>
        <w:t>ы в большинстве случаев не сможете полагаться на защиту своих прав и законных интересов российскими уполномоченными органами.</w:t>
      </w:r>
    </w:p>
    <w:p w14:paraId="402152FA" w14:textId="77777777" w:rsidR="0040768D" w:rsidRPr="00E85EC1" w:rsidRDefault="0040768D" w:rsidP="00B90565">
      <w:pPr>
        <w:pStyle w:val="a3"/>
        <w:numPr>
          <w:ilvl w:val="0"/>
          <w:numId w:val="8"/>
        </w:num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Раскрытие информации</w:t>
      </w:r>
    </w:p>
    <w:p w14:paraId="59790993" w14:textId="7777777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Раскрытие информации в отношении иностранных ценных бумаг, являющихся базисным активом производных финансовых инструментов, осуществляется по правилам, действующим за рубежом, и на английском языке. Оцените свою готовность анализировать информацию на английском я</w:t>
      </w:r>
      <w:r w:rsidR="0090551B" w:rsidRPr="00E85EC1">
        <w:rPr>
          <w:rFonts w:ascii="Times New Roman" w:hAnsi="Times New Roman" w:cs="Times New Roman"/>
          <w:sz w:val="18"/>
          <w:szCs w:val="18"/>
        </w:rPr>
        <w:t>зыке, а также то, понимаете ли в</w:t>
      </w:r>
      <w:r w:rsidRPr="00E85EC1">
        <w:rPr>
          <w:rFonts w:ascii="Times New Roman" w:hAnsi="Times New Roman" w:cs="Times New Roman"/>
          <w:sz w:val="18"/>
          <w:szCs w:val="18"/>
        </w:rPr>
        <w:t>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1371348E" w14:textId="77777777" w:rsidR="0040768D"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Также российские организаторы торговли и (или) брокеры могут осуществлять перевод некоторых документов (информации), раскрыва</w:t>
      </w:r>
      <w:r w:rsidR="0090551B" w:rsidRPr="00E85EC1">
        <w:rPr>
          <w:rFonts w:ascii="Times New Roman" w:hAnsi="Times New Roman" w:cs="Times New Roman"/>
          <w:sz w:val="18"/>
          <w:szCs w:val="18"/>
        </w:rPr>
        <w:t>емых иностранным эмитентом для в</w:t>
      </w:r>
      <w:r w:rsidRPr="00E85EC1">
        <w:rPr>
          <w:rFonts w:ascii="Times New Roman" w:hAnsi="Times New Roman" w:cs="Times New Roman"/>
          <w:sz w:val="18"/>
          <w:szCs w:val="18"/>
        </w:rPr>
        <w:t>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w:t>
      </w:r>
      <w:r w:rsidR="0090551B" w:rsidRPr="00E85EC1">
        <w:rPr>
          <w:rFonts w:ascii="Times New Roman" w:hAnsi="Times New Roman" w:cs="Times New Roman"/>
          <w:sz w:val="18"/>
          <w:szCs w:val="18"/>
        </w:rPr>
        <w:t xml:space="preserve">шибок переводчика, в том числе, </w:t>
      </w:r>
      <w:r w:rsidRPr="00E85EC1">
        <w:rPr>
          <w:rFonts w:ascii="Times New Roman" w:hAnsi="Times New Roman" w:cs="Times New Roman"/>
          <w:sz w:val="18"/>
          <w:szCs w:val="18"/>
        </w:rPr>
        <w:t>связанных с возможным различным переводом одних и тех же иностранных слов и фраз или отсутствием общепринятого русского эквивалента.</w:t>
      </w:r>
    </w:p>
    <w:p w14:paraId="004D418B" w14:textId="0A7A9C29" w:rsidR="00E73DB0" w:rsidRPr="00E85EC1" w:rsidRDefault="0040768D" w:rsidP="0040768D">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Учитывая </w:t>
      </w:r>
      <w:r w:rsidR="0090551B" w:rsidRPr="00E85EC1">
        <w:rPr>
          <w:rFonts w:ascii="Times New Roman" w:hAnsi="Times New Roman" w:cs="Times New Roman"/>
          <w:sz w:val="18"/>
          <w:szCs w:val="18"/>
        </w:rPr>
        <w:t>вышеизложенное, мы рекомендуем в</w:t>
      </w:r>
      <w:r w:rsidRPr="00E85EC1">
        <w:rPr>
          <w:rFonts w:ascii="Times New Roman" w:hAnsi="Times New Roman" w:cs="Times New Roman"/>
          <w:sz w:val="18"/>
          <w:szCs w:val="18"/>
        </w:rPr>
        <w:t>ам внимательно рассмотреть вопрос о том, являются ли риски, возникающие при проведении соответству</w:t>
      </w:r>
      <w:r w:rsidR="0090551B" w:rsidRPr="00E85EC1">
        <w:rPr>
          <w:rFonts w:ascii="Times New Roman" w:hAnsi="Times New Roman" w:cs="Times New Roman"/>
          <w:sz w:val="18"/>
          <w:szCs w:val="18"/>
        </w:rPr>
        <w:t>ющих операций, приемлемыми для вас с учетом в</w:t>
      </w:r>
      <w:r w:rsidRPr="00E85EC1">
        <w:rPr>
          <w:rFonts w:ascii="Times New Roman" w:hAnsi="Times New Roman" w:cs="Times New Roman"/>
          <w:sz w:val="18"/>
          <w:szCs w:val="18"/>
        </w:rPr>
        <w:t xml:space="preserve">аших инвестиционных целей и финансовых возможностей. Данная Декларация </w:t>
      </w:r>
      <w:r w:rsidR="0090551B" w:rsidRPr="00E85EC1">
        <w:rPr>
          <w:rFonts w:ascii="Times New Roman" w:hAnsi="Times New Roman" w:cs="Times New Roman"/>
          <w:sz w:val="18"/>
          <w:szCs w:val="18"/>
        </w:rPr>
        <w:t>не имеет своей целью заставить в</w:t>
      </w:r>
      <w:r w:rsidRPr="00E85EC1">
        <w:rPr>
          <w:rFonts w:ascii="Times New Roman" w:hAnsi="Times New Roman" w:cs="Times New Roman"/>
          <w:sz w:val="18"/>
          <w:szCs w:val="18"/>
        </w:rPr>
        <w:t>ас отказаться от осуществления так</w:t>
      </w:r>
      <w:r w:rsidR="0090551B" w:rsidRPr="00E85EC1">
        <w:rPr>
          <w:rFonts w:ascii="Times New Roman" w:hAnsi="Times New Roman" w:cs="Times New Roman"/>
          <w:sz w:val="18"/>
          <w:szCs w:val="18"/>
        </w:rPr>
        <w:t>их операций, а призвана помочь в</w:t>
      </w:r>
      <w:r w:rsidRPr="00E85EC1">
        <w:rPr>
          <w:rFonts w:ascii="Times New Roman" w:hAnsi="Times New Roman" w:cs="Times New Roman"/>
          <w:sz w:val="18"/>
          <w:szCs w:val="18"/>
        </w:rPr>
        <w:t>ам оценить их риски и ответственно подо</w:t>
      </w:r>
      <w:r w:rsidR="0090551B" w:rsidRPr="00E85EC1">
        <w:rPr>
          <w:rFonts w:ascii="Times New Roman" w:hAnsi="Times New Roman" w:cs="Times New Roman"/>
          <w:sz w:val="18"/>
          <w:szCs w:val="18"/>
        </w:rPr>
        <w:t>йти к решению вопроса о выборе в</w:t>
      </w:r>
      <w:r w:rsidRPr="00E85EC1">
        <w:rPr>
          <w:rFonts w:ascii="Times New Roman" w:hAnsi="Times New Roman" w:cs="Times New Roman"/>
          <w:sz w:val="18"/>
          <w:szCs w:val="18"/>
        </w:rPr>
        <w:t xml:space="preserve">ашей инвестиционной </w:t>
      </w:r>
      <w:r w:rsidR="0090551B" w:rsidRPr="00E85EC1">
        <w:rPr>
          <w:rFonts w:ascii="Times New Roman" w:hAnsi="Times New Roman" w:cs="Times New Roman"/>
          <w:sz w:val="18"/>
          <w:szCs w:val="18"/>
        </w:rPr>
        <w:t>стратегии и условий договора с в</w:t>
      </w:r>
      <w:r w:rsidRPr="00E85EC1">
        <w:rPr>
          <w:rFonts w:ascii="Times New Roman" w:hAnsi="Times New Roman" w:cs="Times New Roman"/>
          <w:sz w:val="18"/>
          <w:szCs w:val="18"/>
        </w:rPr>
        <w:t>ашим брокер</w:t>
      </w:r>
      <w:r w:rsidR="0036478D" w:rsidRPr="00E85EC1">
        <w:rPr>
          <w:rFonts w:ascii="Times New Roman" w:hAnsi="Times New Roman" w:cs="Times New Roman"/>
          <w:sz w:val="18"/>
          <w:szCs w:val="18"/>
        </w:rPr>
        <w:t>ом</w:t>
      </w:r>
      <w:r w:rsidRPr="00E85EC1">
        <w:rPr>
          <w:rFonts w:ascii="Times New Roman" w:hAnsi="Times New Roman" w:cs="Times New Roman"/>
          <w:sz w:val="18"/>
          <w:szCs w:val="18"/>
        </w:rPr>
        <w:t>.</w:t>
      </w:r>
    </w:p>
    <w:p w14:paraId="2ED828CB" w14:textId="77777777" w:rsidR="00E73DB0" w:rsidRPr="00E85EC1" w:rsidRDefault="00E73DB0" w:rsidP="00543B39">
      <w:pPr>
        <w:pStyle w:val="a3"/>
        <w:numPr>
          <w:ilvl w:val="0"/>
          <w:numId w:val="1"/>
        </w:numPr>
        <w:autoSpaceDE w:val="0"/>
        <w:autoSpaceDN w:val="0"/>
        <w:adjustRightInd w:val="0"/>
        <w:spacing w:after="120" w:line="240" w:lineRule="auto"/>
        <w:jc w:val="center"/>
        <w:rPr>
          <w:rFonts w:ascii="Times New Roman" w:hAnsi="Times New Roman" w:cs="Times New Roman"/>
          <w:b/>
          <w:bCs/>
          <w:sz w:val="18"/>
          <w:szCs w:val="18"/>
        </w:rPr>
      </w:pPr>
      <w:r w:rsidRPr="00E85EC1">
        <w:rPr>
          <w:rFonts w:ascii="Times New Roman" w:hAnsi="Times New Roman" w:cs="Times New Roman"/>
          <w:b/>
          <w:bCs/>
          <w:sz w:val="18"/>
          <w:szCs w:val="18"/>
        </w:rPr>
        <w:t>Декларация о рисках, связанных с приобретением векселей</w:t>
      </w:r>
    </w:p>
    <w:p w14:paraId="35A1CF89" w14:textId="77777777" w:rsidR="00E73DB0" w:rsidRPr="00E85EC1" w:rsidRDefault="00E73DB0" w:rsidP="00E73DB0">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lastRenderedPageBreak/>
        <w:t>Настоящая Декларация раскрывает специальные риски, связанные с приобретением векселей. Обращаем ваше внимание на то, что настоящая Декларация не раскрывает информацию обо всех рисках, связанных с приобретением векселей вследствие разнообразия возникающих ситуаций.</w:t>
      </w:r>
    </w:p>
    <w:p w14:paraId="1BA39031" w14:textId="77777777" w:rsidR="00E73DB0" w:rsidRPr="00E85EC1" w:rsidRDefault="00E73DB0" w:rsidP="00E73DB0">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Законодательством о переводном и простом векселе установлены требования к содержанию векселя, порядку его акцепта, порядку его передачи, порядку и сроку платежа и др. Учитывая, что несоблюдение требований к содержанию векселя, к его обороту может значительно повлиять на возможность реализации прав, закрепленных векселем, либо даже сделать невозможным реализацию таких прав, вам необходимо убедится в том, что приобретаемый вексель соответствует вексельному законодательству, а ваше право будет основано на непрерывном ряде индоссаментов.</w:t>
      </w:r>
    </w:p>
    <w:p w14:paraId="6CDF5DF9" w14:textId="77777777" w:rsidR="00E73DB0" w:rsidRPr="00E85EC1" w:rsidRDefault="00E73DB0" w:rsidP="00E73DB0">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Вексель является документарной ценной бумагой и должен быть составлен только на бумаге (бумажном носителе), а реализация прав по векселю связана с наличием у векселедержателя самого векселя. Несмотря на то, что гражданским законодательством установлен порядок восстановления прав по документарной ценной бумаге, векселедержатель несет риск утраты векселя и, как следствие, невозможности реализации закрепленного им права.</w:t>
      </w:r>
    </w:p>
    <w:p w14:paraId="5024FFCF" w14:textId="77777777" w:rsidR="00E73DB0" w:rsidRPr="00E85EC1" w:rsidRDefault="00E73DB0" w:rsidP="00E73DB0">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Векселя передаются посредством проставления специальной передаточной надписи – индоссамента, а права векселедержателя основаны на непрерывном ряде индоссаментов. По общему правилу, индоссант (лицо, передавшее вексель посредством индоссамента) отвечает за акцепт и за платеж, а все индоссировавшие вексель (наряду с векселедателем, акцептантом или вексельным поручителем (поручителями)) солидарно обязаны перед векселедержателем, при этом векселедержатель имеет право предъявления иска ко всем этим лицам, к каждому в отдельности и ко всем вместе, а последовательность, в которой эти лица обязывались по векселю, во внимание не берется. Поэтому вам необходимо оценить приемлемость вашей ответственности по векселю.</w:t>
      </w:r>
    </w:p>
    <w:p w14:paraId="367686D6" w14:textId="77777777" w:rsidR="00E73DB0" w:rsidRPr="00E85EC1" w:rsidRDefault="00E73DB0" w:rsidP="00E73DB0">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Вексельное законодательство, устанавливая солидарную ответственность лиц, выдавших, акцептовавших, индоссировавших вексель или поставивших на нем аваль (вексельное поручительство), связывает солидарную ответственность таких лиц с соблюдением векселедержателем сроков и процедуры протеста в неакцепте или неплатеже, уведомлением векселедателя и своего индоссанта, что связно с дополнительными расходами, поэтому вам необходимо оценить приемлемость дополнительных издержек.</w:t>
      </w:r>
    </w:p>
    <w:p w14:paraId="7C1F8306" w14:textId="77777777" w:rsidR="00E73DB0" w:rsidRPr="00E85EC1" w:rsidRDefault="00E73DB0" w:rsidP="00E73DB0">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Вексель не является эмиссионной ценной бумагой, поэтому лицо, выдавшее вексель (векселедатель) не обязано раскрывать данных о себе, о своем финансовом положении, выдача векселя не сопровождается регистрацией со стороны контролирующих органов, поэтому приобретение векселя связано с наличием кредитного риска (риска неисполнения обязательств лицами, обязанными по векселю). Таким образом, при выборе векселя Вам необходимо убедиться в том, что векселедатель либо акцептант являются платежеспособными.</w:t>
      </w:r>
    </w:p>
    <w:p w14:paraId="03005CB0" w14:textId="55C4294B" w:rsidR="00C1435F" w:rsidRPr="00E85EC1" w:rsidRDefault="00E73DB0" w:rsidP="00E73DB0">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3FB628C5" w14:textId="77777777" w:rsidR="00370C69" w:rsidRPr="00E85EC1" w:rsidRDefault="00370C69" w:rsidP="00370C69">
      <w:pPr>
        <w:pStyle w:val="a3"/>
        <w:numPr>
          <w:ilvl w:val="0"/>
          <w:numId w:val="1"/>
        </w:numPr>
        <w:autoSpaceDE w:val="0"/>
        <w:autoSpaceDN w:val="0"/>
        <w:adjustRightInd w:val="0"/>
        <w:spacing w:after="120" w:line="240" w:lineRule="auto"/>
        <w:jc w:val="center"/>
        <w:rPr>
          <w:rFonts w:ascii="Times New Roman" w:hAnsi="Times New Roman" w:cs="Times New Roman"/>
          <w:b/>
          <w:bCs/>
          <w:sz w:val="18"/>
          <w:szCs w:val="18"/>
        </w:rPr>
      </w:pPr>
      <w:r w:rsidRPr="00E85EC1">
        <w:rPr>
          <w:rFonts w:ascii="Times New Roman" w:hAnsi="Times New Roman" w:cs="Times New Roman"/>
          <w:b/>
          <w:bCs/>
          <w:sz w:val="18"/>
          <w:szCs w:val="18"/>
        </w:rPr>
        <w:t>Декларация о рисках, связанных с индивидуальными инвестиционными счетами.</w:t>
      </w:r>
    </w:p>
    <w:p w14:paraId="210F589D" w14:textId="77777777" w:rsidR="00902A94" w:rsidRPr="00762C07" w:rsidRDefault="00902A94" w:rsidP="00E85EC1">
      <w:pPr>
        <w:autoSpaceDE w:val="0"/>
        <w:autoSpaceDN w:val="0"/>
        <w:adjustRightInd w:val="0"/>
        <w:spacing w:after="120" w:line="240" w:lineRule="auto"/>
        <w:jc w:val="both"/>
        <w:rPr>
          <w:rFonts w:ascii="Times New Roman" w:hAnsi="Times New Roman" w:cs="Times New Roman"/>
          <w:i/>
          <w:sz w:val="18"/>
          <w:szCs w:val="18"/>
        </w:rPr>
      </w:pPr>
      <w:r w:rsidRPr="00762C07">
        <w:rPr>
          <w:rFonts w:ascii="Times New Roman" w:hAnsi="Times New Roman" w:cs="Times New Roman"/>
          <w:i/>
          <w:sz w:val="18"/>
          <w:szCs w:val="18"/>
        </w:rPr>
        <w:t>Декларация о рисках в отношении Договора о брокерском обслуживании, предусматривающего ведение индивидуального инвестиционного счета, заключенного в период с 01.01.2015 по 31.12.2023 включительно:</w:t>
      </w:r>
    </w:p>
    <w:p w14:paraId="4A46ED06" w14:textId="6E2BCAC8" w:rsidR="00370C69" w:rsidRPr="00E85EC1" w:rsidRDefault="00C21651" w:rsidP="00E85EC1">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Если з</w:t>
      </w:r>
      <w:r w:rsidR="00370C69" w:rsidRPr="00E85EC1">
        <w:rPr>
          <w:rFonts w:ascii="Times New Roman" w:hAnsi="Times New Roman" w:cs="Times New Roman"/>
          <w:sz w:val="18"/>
          <w:szCs w:val="18"/>
        </w:rPr>
        <w:t xml:space="preserve">аключаемый вами </w:t>
      </w:r>
      <w:r w:rsidRPr="00E85EC1">
        <w:rPr>
          <w:rFonts w:ascii="Times New Roman" w:hAnsi="Times New Roman" w:cs="Times New Roman"/>
          <w:sz w:val="18"/>
          <w:szCs w:val="18"/>
        </w:rPr>
        <w:t>договор о брокерском обслуживании</w:t>
      </w:r>
      <w:r w:rsidR="00370C69" w:rsidRPr="00E85EC1">
        <w:rPr>
          <w:rFonts w:ascii="Times New Roman" w:hAnsi="Times New Roman" w:cs="Times New Roman"/>
          <w:sz w:val="18"/>
          <w:szCs w:val="18"/>
        </w:rPr>
        <w:t xml:space="preserve"> связан с ведением индивидуального инвестиционного счета, </w:t>
      </w:r>
      <w:r w:rsidR="00605879" w:rsidRPr="00E85EC1">
        <w:rPr>
          <w:rFonts w:ascii="Times New Roman" w:hAnsi="Times New Roman" w:cs="Times New Roman"/>
          <w:sz w:val="18"/>
          <w:szCs w:val="18"/>
        </w:rPr>
        <w:t>то он</w:t>
      </w:r>
      <w:r w:rsidR="00370C69" w:rsidRPr="00E85EC1">
        <w:rPr>
          <w:rFonts w:ascii="Times New Roman" w:hAnsi="Times New Roman" w:cs="Times New Roman"/>
          <w:sz w:val="18"/>
          <w:szCs w:val="18"/>
        </w:rPr>
        <w:t xml:space="preserve"> позволяет вам получить инвестиционный налоговый вычет. Все риски, которые упомянуты в Декларации об общих рисках, связанных с осуществлением операций на рынке ценных бумаг, имеют отношение и к индивидуальным инвестиционным счетам, однако существуют особенности, которые необходимо знать для того, чтобы воспользоваться налоговыми преимуществами, которые предоставляют такие счета, и исключить риск лишиться таких преимуществ.</w:t>
      </w:r>
    </w:p>
    <w:p w14:paraId="1DFFE8C2" w14:textId="77777777" w:rsidR="00370C69" w:rsidRPr="00E85EC1" w:rsidRDefault="00370C69" w:rsidP="00E85EC1">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Существует два варианта инвестиционных налоговых вычетов:</w:t>
      </w:r>
    </w:p>
    <w:p w14:paraId="7D910B54" w14:textId="77777777" w:rsidR="00370C69" w:rsidRPr="00E85EC1" w:rsidRDefault="00370C69" w:rsidP="00E85EC1">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1) «на взнос», по которому вы можете ежегодно обращаться за возвратом уплаченного подоходного налога на сумму сделанного вами взноса, но должны будете уплатить подоходный налог на доход, исчисленный при закрытии индивидуального инвестиционного счета;</w:t>
      </w:r>
    </w:p>
    <w:p w14:paraId="406C7FD7" w14:textId="77777777" w:rsidR="00370C69" w:rsidRPr="00E85EC1" w:rsidRDefault="00370C69" w:rsidP="00E85EC1">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2) «на изъятие средств со счета», по которому вы не сможете получать ежегодный возврат налога, но будете освобождены от уплаты подоходного налога при изъятии средств с индивидуального инвестиционного счета.</w:t>
      </w:r>
    </w:p>
    <w:p w14:paraId="1D712B5B" w14:textId="77777777" w:rsidR="00370C69" w:rsidRPr="00E85EC1" w:rsidRDefault="00370C69" w:rsidP="00E85EC1">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Обратите внимание на то, что вы сможете воспользоваться только одним из вариантов инвестиционного налогового вычета, это значит, что если вы хотя бы однажды воспользуетесь инвестиционным вычетом «на взнос», то не сможете воспользоваться инвестиционным вычетом «на изъятие средств», что может лишить вас всех преимуществ этого варианта. Определите предпочтительный для вас вариант, обсудите достоинства и недостатки каждого варианта с вашим брокером и (или) консультантом, специализирующимся на соответствующих консультациях.</w:t>
      </w:r>
    </w:p>
    <w:p w14:paraId="19990A24" w14:textId="048016CF" w:rsidR="00370C69" w:rsidRPr="00E85EC1" w:rsidRDefault="00370C69" w:rsidP="00E85EC1">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Вам следует иметь в виду также то, что если вы прекратите ваш </w:t>
      </w:r>
      <w:r w:rsidR="00605879" w:rsidRPr="00E85EC1">
        <w:rPr>
          <w:rFonts w:ascii="Times New Roman" w:hAnsi="Times New Roman" w:cs="Times New Roman"/>
          <w:sz w:val="18"/>
          <w:szCs w:val="18"/>
        </w:rPr>
        <w:t>договор о брокерском обслуживании, предусматривающий открытие и ведение индивидуального инвестиционного счета,</w:t>
      </w:r>
      <w:r w:rsidRPr="00E85EC1">
        <w:rPr>
          <w:rFonts w:ascii="Times New Roman" w:hAnsi="Times New Roman" w:cs="Times New Roman"/>
          <w:sz w:val="18"/>
          <w:szCs w:val="18"/>
        </w:rPr>
        <w:t xml:space="preserve"> ранее трех лет, то не сможете воспользоваться описанными инвестиционными налоговыми вычетами, и, в случае если вы пользовались вычетом «на взнос», вы будете обязаны вернуть государству все суммы возвращенного вам налога.</w:t>
      </w:r>
    </w:p>
    <w:p w14:paraId="1F26D6E1" w14:textId="77777777" w:rsidR="00370C69" w:rsidRPr="00E85EC1" w:rsidRDefault="00370C69" w:rsidP="00E85EC1">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Ваш брокер не знает о вашем выборе варианта инвестиционного налогового вычета и не участвует в ваших отношениях с налоговой службой.</w:t>
      </w:r>
    </w:p>
    <w:p w14:paraId="300E3A60" w14:textId="77777777" w:rsidR="00370C69" w:rsidRPr="00E85EC1" w:rsidRDefault="00370C69" w:rsidP="00E85EC1">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lastRenderedPageBreak/>
        <w:t>Обращаем внимание на то, что вы можете иметь только один индивидуальный инвестиционный счет. Открытие нескольких индивидуальных инвестиционных счетов у одного или у разных профессиональных участников рынка ценных бумаг приведет к тому, что вы не сможете воспользоваться инвестиционным налоговым вычетом ни по одному из них.</w:t>
      </w:r>
    </w:p>
    <w:p w14:paraId="70B35415" w14:textId="1852A907" w:rsidR="00902A94" w:rsidRPr="00762C07" w:rsidRDefault="00902A94" w:rsidP="00902A94">
      <w:pPr>
        <w:spacing w:before="120" w:after="120" w:line="240" w:lineRule="auto"/>
        <w:mirrorIndents/>
        <w:jc w:val="both"/>
        <w:rPr>
          <w:rFonts w:ascii="Times New Roman" w:hAnsi="Times New Roman" w:cs="Times New Roman"/>
          <w:i/>
          <w:sz w:val="18"/>
          <w:szCs w:val="18"/>
        </w:rPr>
      </w:pPr>
      <w:r w:rsidRPr="00762C07">
        <w:rPr>
          <w:rFonts w:ascii="Times New Roman" w:hAnsi="Times New Roman" w:cs="Times New Roman"/>
          <w:i/>
          <w:sz w:val="18"/>
          <w:szCs w:val="18"/>
        </w:rPr>
        <w:t>Декларация о рисках в отношении Договора о брокерском обслуживании, предусматривающего ведение индивидуального инвестиционного счета, открытого, начиная с 01.01.2024:</w:t>
      </w:r>
    </w:p>
    <w:p w14:paraId="2AADAB7B" w14:textId="77777777" w:rsidR="00902A94" w:rsidRPr="00902A94" w:rsidRDefault="00902A94" w:rsidP="00902A94">
      <w:pPr>
        <w:spacing w:before="120" w:after="120" w:line="240" w:lineRule="auto"/>
        <w:mirrorIndents/>
        <w:jc w:val="both"/>
        <w:rPr>
          <w:rFonts w:ascii="Times New Roman" w:hAnsi="Times New Roman" w:cs="Times New Roman"/>
          <w:sz w:val="18"/>
          <w:szCs w:val="18"/>
        </w:rPr>
      </w:pPr>
      <w:r w:rsidRPr="00902A94">
        <w:rPr>
          <w:rFonts w:ascii="Times New Roman" w:hAnsi="Times New Roman" w:cs="Times New Roman"/>
          <w:sz w:val="18"/>
          <w:szCs w:val="18"/>
        </w:rPr>
        <w:t>Заключаемый вами договор связан с ведением индивидуального инвестиционного счета, который позволяет вам получить налоговый вычет. Все риски, которые упомянуты в Декларации об общих рисках, связанных с осуществлением операций на рынке ценных бумаг (разделе 4 части I настоящего Заявления), имеют отношение и к индивидуальным инвестиционным счетам, однако существуют особенности, которые необходимо знать для того, чтобы воспользоваться налоговыми преимуществами, которые предоставляют такие счета, и исключить риск лишиться таких преимуществ.</w:t>
      </w:r>
    </w:p>
    <w:p w14:paraId="63985F47" w14:textId="77777777" w:rsidR="00902A94" w:rsidRPr="00902A94" w:rsidRDefault="00902A94" w:rsidP="00902A94">
      <w:pPr>
        <w:spacing w:before="120" w:after="120" w:line="240" w:lineRule="auto"/>
        <w:mirrorIndents/>
        <w:jc w:val="both"/>
        <w:rPr>
          <w:rFonts w:ascii="Times New Roman" w:hAnsi="Times New Roman" w:cs="Times New Roman"/>
          <w:sz w:val="18"/>
          <w:szCs w:val="18"/>
        </w:rPr>
      </w:pPr>
      <w:r w:rsidRPr="00902A94">
        <w:rPr>
          <w:rFonts w:ascii="Times New Roman" w:hAnsi="Times New Roman" w:cs="Times New Roman"/>
          <w:sz w:val="18"/>
          <w:szCs w:val="18"/>
        </w:rPr>
        <w:t>Вам следует иметь в виду, что если вы прекратите ваш договор ранее срока, установленного налоговым законодательством (за исключением случаев прекращения договора на ведение индивидуального инвестиционного счета с переводом всех активов, учитываемых на индивидуальном инвестиционном счете, на другой индивидуальный инвестиционный счет), то не сможете воспользоваться соответствующими налоговыми вычетами, и, в случае если вы пользовались вычетом «на взнос», вы будете обязаны вернуть государству все суммы возвращенного вам налога.</w:t>
      </w:r>
    </w:p>
    <w:p w14:paraId="27C15D8A" w14:textId="49E9B41F" w:rsidR="00370C69" w:rsidRPr="00E85EC1" w:rsidRDefault="00902A94" w:rsidP="00902A94">
      <w:pPr>
        <w:spacing w:before="120" w:after="120" w:line="240" w:lineRule="auto"/>
        <w:mirrorIndents/>
        <w:jc w:val="both"/>
        <w:rPr>
          <w:rFonts w:ascii="Times New Roman" w:hAnsi="Times New Roman" w:cs="Times New Roman"/>
          <w:sz w:val="18"/>
          <w:szCs w:val="18"/>
        </w:rPr>
      </w:pPr>
      <w:r w:rsidRPr="00902A94">
        <w:rPr>
          <w:rFonts w:ascii="Times New Roman" w:hAnsi="Times New Roman" w:cs="Times New Roman"/>
          <w:sz w:val="18"/>
          <w:szCs w:val="18"/>
        </w:rPr>
        <w:t>Отдельно обращаем внимание, что до внесения изменений в Налоговый кодекс Российской Федерации сохраняется прежний порядок предоставления инвестиционных налоговых вычетов (см. Декларацию о рисках в отношении Договора о брокерском обслуживании, предусматривающего ведение индивидуального инвестиционного счета, заключенного в период с 01.01.2015 по 31.12.2023 включительно), который не предполагает возможности одновременно получать вычет в части суммы денежных средств, внесенных на индивидуальный инвестиционный счет, открытый после 01.01.2024, и вычет в сумме положительного финансового результата, полученного по операциям, учитываемым на таком индивидуальном инвестиционном счета, а также не позволяет сохранить налоговые льготы при наличии одновременно нескольких индивидуальных инвестиционных счетов.</w:t>
      </w:r>
    </w:p>
    <w:p w14:paraId="0137736D" w14:textId="6109F413" w:rsidR="00370C69" w:rsidRPr="00E85EC1" w:rsidRDefault="00467739" w:rsidP="00E85EC1">
      <w:pPr>
        <w:pStyle w:val="a3"/>
        <w:autoSpaceDE w:val="0"/>
        <w:autoSpaceDN w:val="0"/>
        <w:adjustRightInd w:val="0"/>
        <w:spacing w:before="120" w:after="120" w:line="240" w:lineRule="auto"/>
        <w:mirrorIndents/>
        <w:jc w:val="center"/>
        <w:rPr>
          <w:rFonts w:ascii="Times New Roman" w:eastAsia="MS Gothic" w:hAnsi="Times New Roman" w:cs="Times New Roman"/>
          <w:b/>
          <w:sz w:val="20"/>
          <w:szCs w:val="20"/>
        </w:rPr>
      </w:pPr>
      <w:r w:rsidRPr="00E85EC1">
        <w:rPr>
          <w:rFonts w:ascii="Times New Roman" w:eastAsia="MS Gothic" w:hAnsi="Times New Roman" w:cs="Times New Roman"/>
          <w:b/>
          <w:sz w:val="20"/>
          <w:szCs w:val="20"/>
        </w:rPr>
        <w:t>Уведомления</w:t>
      </w:r>
    </w:p>
    <w:p w14:paraId="55E5796F" w14:textId="5F706CD1" w:rsidR="00467739" w:rsidRPr="00E85EC1" w:rsidRDefault="00467739" w:rsidP="00467739">
      <w:pPr>
        <w:pStyle w:val="a3"/>
        <w:autoSpaceDE w:val="0"/>
        <w:autoSpaceDN w:val="0"/>
        <w:adjustRightInd w:val="0"/>
        <w:spacing w:before="120" w:after="120" w:line="240" w:lineRule="auto"/>
        <w:mirrorIndents/>
        <w:jc w:val="both"/>
        <w:rPr>
          <w:rFonts w:ascii="Times New Roman" w:eastAsia="MS Gothic" w:hAnsi="Times New Roman" w:cs="Times New Roman"/>
          <w:b/>
          <w:sz w:val="20"/>
          <w:szCs w:val="20"/>
        </w:rPr>
      </w:pPr>
    </w:p>
    <w:p w14:paraId="06E120BC" w14:textId="507C38B5" w:rsidR="00467739" w:rsidRPr="00E85EC1" w:rsidRDefault="00467739" w:rsidP="00E85EC1">
      <w:pPr>
        <w:pStyle w:val="a3"/>
        <w:numPr>
          <w:ilvl w:val="0"/>
          <w:numId w:val="15"/>
        </w:numPr>
        <w:autoSpaceDE w:val="0"/>
        <w:autoSpaceDN w:val="0"/>
        <w:adjustRightInd w:val="0"/>
        <w:spacing w:before="120" w:after="120" w:line="240" w:lineRule="auto"/>
        <w:mirrorIndents/>
        <w:jc w:val="both"/>
        <w:rPr>
          <w:rFonts w:ascii="Times New Roman" w:eastAsia="MS Gothic" w:hAnsi="Times New Roman" w:cs="Times New Roman"/>
          <w:b/>
          <w:sz w:val="20"/>
          <w:szCs w:val="20"/>
        </w:rPr>
      </w:pPr>
      <w:bookmarkStart w:id="1" w:name="_Hlk140052401"/>
      <w:r w:rsidRPr="00E85EC1">
        <w:rPr>
          <w:rFonts w:ascii="Times New Roman" w:eastAsia="MS Gothic" w:hAnsi="Times New Roman" w:cs="Times New Roman"/>
          <w:b/>
          <w:sz w:val="20"/>
          <w:szCs w:val="20"/>
        </w:rPr>
        <w:t>Уведомление об общем характере и/или источниках конфликта интересов</w:t>
      </w:r>
    </w:p>
    <w:p w14:paraId="05B19249" w14:textId="77777777" w:rsidR="00467739" w:rsidRPr="00E85EC1" w:rsidRDefault="00467739" w:rsidP="00467739">
      <w:pPr>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Настоящее уведомление создано с целью информирования Клиента об общем характере и (или) источниках конфликта интересов.</w:t>
      </w:r>
    </w:p>
    <w:p w14:paraId="0845A0A9" w14:textId="77777777" w:rsidR="00467739" w:rsidRPr="00E85EC1" w:rsidRDefault="00467739" w:rsidP="00467739">
      <w:pPr>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В настоящем уведомлении под общим характером конфликта интересов понимается возникающее при осуществлении профессиональной деятельности на рынке ценных бумаг противоречие между имущественными и иными интересами Компании и/или членов ее органов управления, и/или ее участников, и/или ее работников, осуществляющих свою деятельность на основании трудового или гражданско-правового договора или имеющих доступ к служебной или инсайдерской информации на иных законных основаниях, и Клиента, либо между интересами нескольких Клиентов Компании, либо при совмещении видов профессиональной деятельности на рынке ценных бумаг, в результате которого действия или бездействия Компании и/или членов ее органов управления и/или ее участников и/или ее работников могут повлечь причинение убытков Клиенту и/или иные неблагоприятные последствия для Клиента.</w:t>
      </w:r>
    </w:p>
    <w:p w14:paraId="72313853" w14:textId="77777777" w:rsidR="00467739" w:rsidRPr="00E85EC1" w:rsidRDefault="00467739" w:rsidP="00467739">
      <w:pPr>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В целях исключения конфликта интересов Компания принимает комплекс мер (в том числе меры по выявлению и контролю конфликта интересов, а также предотвращению его последствий), руководствуясь при осуществлении профессиональной деятельности принципом приоритета интересов Клиента перед собственными интересами. Вместе с тем, поскольку риск возникновения конфликта интересов не может быть исключен полностью, Компания информирует Клиента о следующих источниках конфликта интересов:</w:t>
      </w:r>
    </w:p>
    <w:p w14:paraId="654ACC8C" w14:textId="77777777" w:rsidR="00467739" w:rsidRPr="00E85EC1" w:rsidRDefault="00467739" w:rsidP="00467739">
      <w:pPr>
        <w:numPr>
          <w:ilvl w:val="0"/>
          <w:numId w:val="14"/>
        </w:numPr>
        <w:tabs>
          <w:tab w:val="clear" w:pos="720"/>
          <w:tab w:val="num" w:pos="318"/>
        </w:tabs>
        <w:spacing w:before="120" w:after="120" w:line="240" w:lineRule="auto"/>
        <w:ind w:left="318" w:hanging="318"/>
        <w:mirrorIndents/>
        <w:jc w:val="both"/>
        <w:rPr>
          <w:rFonts w:ascii="Times New Roman" w:eastAsia="MS Gothic" w:hAnsi="Times New Roman" w:cs="Times New Roman"/>
          <w:sz w:val="18"/>
          <w:szCs w:val="18"/>
        </w:rPr>
      </w:pPr>
      <w:r w:rsidRPr="00E85EC1">
        <w:rPr>
          <w:rFonts w:ascii="Times New Roman" w:eastAsia="MS Gothic" w:hAnsi="Times New Roman" w:cs="Times New Roman"/>
          <w:sz w:val="18"/>
          <w:szCs w:val="18"/>
        </w:rPr>
        <w:t>наличие у Компании, работников Компании, контролирующих или подконтрольных лиц Компании собственного интереса в совершении сделок с ценными бумагами/финансовыми инструментами /иными активами, изменении рыночной цены ценных бумаг /финансовых инструментов /иных активов;</w:t>
      </w:r>
    </w:p>
    <w:p w14:paraId="01961591" w14:textId="77777777" w:rsidR="00467739" w:rsidRPr="00E85EC1" w:rsidRDefault="00467739" w:rsidP="00467739">
      <w:pPr>
        <w:numPr>
          <w:ilvl w:val="0"/>
          <w:numId w:val="14"/>
        </w:numPr>
        <w:tabs>
          <w:tab w:val="clear" w:pos="720"/>
          <w:tab w:val="num" w:pos="318"/>
        </w:tabs>
        <w:spacing w:before="120" w:after="120" w:line="240" w:lineRule="auto"/>
        <w:ind w:left="318" w:hanging="318"/>
        <w:mirrorIndents/>
        <w:jc w:val="both"/>
        <w:rPr>
          <w:rFonts w:ascii="Times New Roman" w:eastAsia="MS Gothic" w:hAnsi="Times New Roman" w:cs="Times New Roman"/>
          <w:sz w:val="18"/>
          <w:szCs w:val="18"/>
        </w:rPr>
      </w:pPr>
      <w:r w:rsidRPr="00E85EC1">
        <w:rPr>
          <w:rFonts w:ascii="Times New Roman" w:eastAsia="MS Gothic" w:hAnsi="Times New Roman" w:cs="Times New Roman"/>
          <w:sz w:val="18"/>
          <w:szCs w:val="18"/>
        </w:rPr>
        <w:t>участие Компании в сделке с разных сторон в интересах разных Клиентов;</w:t>
      </w:r>
    </w:p>
    <w:p w14:paraId="75C61511" w14:textId="77777777" w:rsidR="00467739" w:rsidRPr="00E85EC1" w:rsidRDefault="00467739" w:rsidP="00467739">
      <w:pPr>
        <w:numPr>
          <w:ilvl w:val="0"/>
          <w:numId w:val="14"/>
        </w:numPr>
        <w:tabs>
          <w:tab w:val="clear" w:pos="720"/>
          <w:tab w:val="num" w:pos="318"/>
        </w:tabs>
        <w:spacing w:before="120" w:after="120" w:line="240" w:lineRule="auto"/>
        <w:ind w:left="318" w:hanging="318"/>
        <w:mirrorIndents/>
        <w:jc w:val="both"/>
        <w:rPr>
          <w:rFonts w:ascii="Times New Roman" w:eastAsia="MS Gothic" w:hAnsi="Times New Roman" w:cs="Times New Roman"/>
          <w:sz w:val="18"/>
          <w:szCs w:val="18"/>
        </w:rPr>
      </w:pPr>
      <w:r w:rsidRPr="00E85EC1">
        <w:rPr>
          <w:rFonts w:ascii="Times New Roman" w:eastAsia="MS Gothic" w:hAnsi="Times New Roman" w:cs="Times New Roman"/>
          <w:sz w:val="18"/>
          <w:szCs w:val="18"/>
        </w:rPr>
        <w:t>наличие у Компании интереса в приобретении Клиентами определенных ценных бумаг, в случаях выполнения Компанией функций андеррайтера размещаемых ценных бумаг и (или) при ином участии Компании в размещении ценных бумаг;</w:t>
      </w:r>
    </w:p>
    <w:p w14:paraId="4B2332A0" w14:textId="77777777" w:rsidR="00467739" w:rsidRPr="00E85EC1" w:rsidRDefault="00467739" w:rsidP="00467739">
      <w:pPr>
        <w:numPr>
          <w:ilvl w:val="0"/>
          <w:numId w:val="14"/>
        </w:numPr>
        <w:tabs>
          <w:tab w:val="clear" w:pos="720"/>
          <w:tab w:val="num" w:pos="318"/>
        </w:tabs>
        <w:spacing w:before="120" w:after="120" w:line="240" w:lineRule="auto"/>
        <w:ind w:left="318" w:hanging="318"/>
        <w:mirrorIndents/>
        <w:jc w:val="both"/>
        <w:rPr>
          <w:rFonts w:ascii="Times New Roman" w:eastAsia="MS Gothic" w:hAnsi="Times New Roman" w:cs="Times New Roman"/>
          <w:sz w:val="18"/>
          <w:szCs w:val="18"/>
        </w:rPr>
      </w:pPr>
      <w:r w:rsidRPr="00E85EC1">
        <w:rPr>
          <w:rFonts w:ascii="Times New Roman" w:eastAsia="MS Gothic" w:hAnsi="Times New Roman" w:cs="Times New Roman"/>
          <w:sz w:val="18"/>
          <w:szCs w:val="18"/>
        </w:rPr>
        <w:t>наличие у Компании интереса в приобретении, обмене или погашении Клиентами определенных паев паевых инвестиционных фондов, в случаях выполнения Компанией функций агента по выдаче, погашению и обмену инвестиционных паев;</w:t>
      </w:r>
    </w:p>
    <w:p w14:paraId="2059F679" w14:textId="77777777" w:rsidR="00467739" w:rsidRPr="00E85EC1" w:rsidRDefault="00467739" w:rsidP="00467739">
      <w:pPr>
        <w:numPr>
          <w:ilvl w:val="0"/>
          <w:numId w:val="14"/>
        </w:numPr>
        <w:tabs>
          <w:tab w:val="clear" w:pos="720"/>
          <w:tab w:val="num" w:pos="318"/>
        </w:tabs>
        <w:spacing w:before="120" w:after="120" w:line="240" w:lineRule="auto"/>
        <w:ind w:left="318" w:hanging="318"/>
        <w:mirrorIndents/>
        <w:jc w:val="both"/>
        <w:rPr>
          <w:rFonts w:ascii="Times New Roman" w:eastAsia="MS Gothic" w:hAnsi="Times New Roman" w:cs="Times New Roman"/>
          <w:sz w:val="18"/>
          <w:szCs w:val="18"/>
        </w:rPr>
      </w:pPr>
      <w:r w:rsidRPr="00E85EC1">
        <w:rPr>
          <w:rFonts w:ascii="Times New Roman" w:eastAsia="MS Gothic" w:hAnsi="Times New Roman" w:cs="Times New Roman"/>
          <w:sz w:val="18"/>
          <w:szCs w:val="18"/>
        </w:rPr>
        <w:t>несовпадение интересов Компании, работников аналитического подразделения Компании и Клиента (-</w:t>
      </w:r>
      <w:proofErr w:type="spellStart"/>
      <w:r w:rsidRPr="00E85EC1">
        <w:rPr>
          <w:rFonts w:ascii="Times New Roman" w:eastAsia="MS Gothic" w:hAnsi="Times New Roman" w:cs="Times New Roman"/>
          <w:sz w:val="18"/>
          <w:szCs w:val="18"/>
        </w:rPr>
        <w:t>ов</w:t>
      </w:r>
      <w:proofErr w:type="spellEnd"/>
      <w:r w:rsidRPr="00E85EC1">
        <w:rPr>
          <w:rFonts w:ascii="Times New Roman" w:eastAsia="MS Gothic" w:hAnsi="Times New Roman" w:cs="Times New Roman"/>
          <w:sz w:val="18"/>
          <w:szCs w:val="18"/>
        </w:rPr>
        <w:t>) в процессе подготовки работниками Компании инвестиционно-аналитических исследований;</w:t>
      </w:r>
    </w:p>
    <w:p w14:paraId="36514B56" w14:textId="77777777" w:rsidR="00467739" w:rsidRPr="00E85EC1" w:rsidRDefault="00467739" w:rsidP="00467739">
      <w:pPr>
        <w:numPr>
          <w:ilvl w:val="0"/>
          <w:numId w:val="14"/>
        </w:numPr>
        <w:tabs>
          <w:tab w:val="clear" w:pos="720"/>
          <w:tab w:val="num" w:pos="318"/>
        </w:tabs>
        <w:spacing w:before="120" w:after="120" w:line="240" w:lineRule="auto"/>
        <w:ind w:left="318" w:hanging="318"/>
        <w:mirrorIndents/>
        <w:jc w:val="both"/>
        <w:rPr>
          <w:rFonts w:ascii="Times New Roman" w:eastAsia="MS Gothic" w:hAnsi="Times New Roman" w:cs="Times New Roman"/>
          <w:sz w:val="18"/>
          <w:szCs w:val="18"/>
        </w:rPr>
      </w:pPr>
      <w:r w:rsidRPr="00E85EC1">
        <w:rPr>
          <w:rFonts w:ascii="Times New Roman" w:eastAsia="MS Gothic" w:hAnsi="Times New Roman" w:cs="Times New Roman"/>
          <w:sz w:val="18"/>
          <w:szCs w:val="18"/>
        </w:rPr>
        <w:t>нарушение принципа независимости аналитического подразделения Компании и принципов организации взаимодействия работников различных подразделений Компании (принципа «китайских стен»);</w:t>
      </w:r>
    </w:p>
    <w:p w14:paraId="67C3F1BD" w14:textId="77777777" w:rsidR="00467739" w:rsidRPr="00E85EC1" w:rsidRDefault="00467739" w:rsidP="00467739">
      <w:pPr>
        <w:numPr>
          <w:ilvl w:val="0"/>
          <w:numId w:val="14"/>
        </w:numPr>
        <w:tabs>
          <w:tab w:val="clear" w:pos="720"/>
          <w:tab w:val="num" w:pos="318"/>
        </w:tabs>
        <w:spacing w:before="120" w:after="120" w:line="240" w:lineRule="auto"/>
        <w:ind w:left="318" w:hanging="318"/>
        <w:mirrorIndents/>
        <w:jc w:val="both"/>
        <w:rPr>
          <w:rFonts w:ascii="Times New Roman" w:eastAsia="MS Gothic" w:hAnsi="Times New Roman" w:cs="Times New Roman"/>
          <w:sz w:val="18"/>
          <w:szCs w:val="18"/>
        </w:rPr>
      </w:pPr>
      <w:r w:rsidRPr="00E85EC1">
        <w:rPr>
          <w:rFonts w:ascii="Times New Roman" w:eastAsia="MS Gothic" w:hAnsi="Times New Roman" w:cs="Times New Roman"/>
          <w:sz w:val="18"/>
          <w:szCs w:val="18"/>
        </w:rPr>
        <w:t>совмещение Компанией нескольких видов профессиональной деятельности на рынке ценных бумаг;</w:t>
      </w:r>
    </w:p>
    <w:p w14:paraId="63C9A006" w14:textId="5697B6E9" w:rsidR="00370C69" w:rsidRPr="00E85EC1" w:rsidRDefault="00467739" w:rsidP="00E85EC1">
      <w:pPr>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Клиенту при принятии инвестиционных и иных решений в процессе взаимодействия с Компанией следует исходить из возможного наличия перечисленных обстоятельств, самостоятельно обращаться в Компанию за предоставлением дополнительных пояснений применительно к конкретной ситуации, в случае наличия у него сомнений и неразрешенных вопросов.</w:t>
      </w:r>
      <w:bookmarkEnd w:id="1"/>
    </w:p>
    <w:p w14:paraId="6C7F20FC" w14:textId="77777777" w:rsidR="00467739" w:rsidRPr="00E85EC1" w:rsidRDefault="00467739" w:rsidP="00E85EC1">
      <w:pPr>
        <w:pStyle w:val="a3"/>
        <w:numPr>
          <w:ilvl w:val="0"/>
          <w:numId w:val="15"/>
        </w:numPr>
        <w:autoSpaceDE w:val="0"/>
        <w:autoSpaceDN w:val="0"/>
        <w:adjustRightInd w:val="0"/>
        <w:spacing w:before="120" w:after="120" w:line="240" w:lineRule="auto"/>
        <w:mirrorIndents/>
        <w:jc w:val="both"/>
        <w:rPr>
          <w:rFonts w:ascii="Times New Roman" w:eastAsia="MS Gothic" w:hAnsi="Times New Roman" w:cs="Times New Roman"/>
          <w:b/>
          <w:sz w:val="20"/>
          <w:szCs w:val="20"/>
        </w:rPr>
      </w:pPr>
      <w:r w:rsidRPr="00E85EC1">
        <w:rPr>
          <w:rFonts w:ascii="Times New Roman" w:eastAsia="MS Gothic" w:hAnsi="Times New Roman" w:cs="Times New Roman"/>
          <w:b/>
          <w:sz w:val="20"/>
          <w:szCs w:val="20"/>
        </w:rPr>
        <w:lastRenderedPageBreak/>
        <w:t>Уведомление о рисках использования брокером в своих интересах денежных средств и/или ценных бумаг клиента</w:t>
      </w:r>
    </w:p>
    <w:p w14:paraId="6421653F" w14:textId="00861238" w:rsidR="00467739" w:rsidRPr="00E85EC1" w:rsidRDefault="00467739" w:rsidP="00467739">
      <w:pPr>
        <w:autoSpaceDE w:val="0"/>
        <w:autoSpaceDN w:val="0"/>
        <w:adjustRightInd w:val="0"/>
        <w:spacing w:before="120" w:after="120" w:line="240" w:lineRule="auto"/>
        <w:ind w:left="34"/>
        <w:mirrorIndents/>
        <w:jc w:val="both"/>
        <w:rPr>
          <w:rFonts w:ascii="Times New Roman" w:hAnsi="Times New Roman" w:cs="Times New Roman"/>
          <w:sz w:val="18"/>
          <w:szCs w:val="18"/>
        </w:rPr>
      </w:pPr>
      <w:r w:rsidRPr="00E85EC1">
        <w:rPr>
          <w:rFonts w:ascii="Times New Roman" w:hAnsi="Times New Roman" w:cs="Times New Roman"/>
          <w:sz w:val="18"/>
          <w:szCs w:val="18"/>
        </w:rPr>
        <w:t>1. Риски, связанные с использованием брокером денежных средств клиента в своих интересах</w:t>
      </w:r>
    </w:p>
    <w:p w14:paraId="70360BE8" w14:textId="77777777" w:rsidR="00467739" w:rsidRPr="00E85EC1" w:rsidRDefault="00467739" w:rsidP="00467739">
      <w:pPr>
        <w:autoSpaceDE w:val="0"/>
        <w:autoSpaceDN w:val="0"/>
        <w:adjustRightInd w:val="0"/>
        <w:spacing w:after="0" w:line="240" w:lineRule="auto"/>
        <w:jc w:val="both"/>
        <w:rPr>
          <w:rFonts w:ascii="Times New Roman" w:hAnsi="Times New Roman" w:cs="Times New Roman"/>
          <w:sz w:val="18"/>
          <w:szCs w:val="18"/>
        </w:rPr>
      </w:pPr>
      <w:r w:rsidRPr="00E85EC1">
        <w:rPr>
          <w:rFonts w:ascii="Times New Roman" w:hAnsi="Times New Roman" w:cs="Times New Roman"/>
          <w:sz w:val="18"/>
          <w:szCs w:val="18"/>
        </w:rPr>
        <w:t>Используя ваши денежные средства в своих интересах, брокер гарантирует Клиенту исполнение его поручений за счет указанных денежных средств либо их возврат по требованию Клиента не позднее рабочего дня, следующего за днем получения требования Клиента о возврате денежных средств.</w:t>
      </w:r>
    </w:p>
    <w:p w14:paraId="6473C44E" w14:textId="77777777" w:rsidR="00467739" w:rsidRPr="00E85EC1" w:rsidRDefault="00467739" w:rsidP="00467739">
      <w:pPr>
        <w:pStyle w:val="a3"/>
        <w:tabs>
          <w:tab w:val="left" w:pos="1134"/>
        </w:tabs>
        <w:spacing w:before="120" w:after="120" w:line="240" w:lineRule="auto"/>
        <w:ind w:left="32"/>
        <w:contextualSpacing w:val="0"/>
        <w:mirrorIndents/>
        <w:jc w:val="both"/>
        <w:rPr>
          <w:rFonts w:ascii="Times New Roman" w:hAnsi="Times New Roman" w:cs="Times New Roman"/>
          <w:sz w:val="18"/>
          <w:szCs w:val="18"/>
        </w:rPr>
      </w:pPr>
      <w:r w:rsidRPr="00E85EC1">
        <w:rPr>
          <w:rFonts w:ascii="Times New Roman" w:hAnsi="Times New Roman" w:cs="Times New Roman"/>
          <w:sz w:val="18"/>
          <w:szCs w:val="18"/>
        </w:rPr>
        <w:t>В то же время, при использовании брокером денежных средств Клиента в собственных интересах у Клиента возникают следующие риски:</w:t>
      </w:r>
    </w:p>
    <w:p w14:paraId="483EDC72" w14:textId="77777777" w:rsidR="00467739" w:rsidRPr="00E85EC1" w:rsidRDefault="00467739" w:rsidP="00467739">
      <w:pPr>
        <w:autoSpaceDE w:val="0"/>
        <w:autoSpaceDN w:val="0"/>
        <w:adjustRightInd w:val="0"/>
        <w:spacing w:before="120" w:after="120" w:line="240" w:lineRule="auto"/>
        <w:ind w:left="32"/>
        <w:mirrorIndents/>
        <w:jc w:val="both"/>
        <w:rPr>
          <w:rFonts w:ascii="Times New Roman" w:hAnsi="Times New Roman" w:cs="Times New Roman"/>
          <w:sz w:val="18"/>
          <w:szCs w:val="18"/>
        </w:rPr>
      </w:pPr>
      <w:r w:rsidRPr="00E85EC1">
        <w:rPr>
          <w:rFonts w:ascii="Times New Roman" w:hAnsi="Times New Roman" w:cs="Times New Roman"/>
          <w:sz w:val="18"/>
          <w:szCs w:val="18"/>
        </w:rPr>
        <w:t>риск неисполнения поручения и риск несвоевременного исполнения поручения Клиента вследствие недостачи денежных средств Клиента из-за перерасхода денежных средств на операции другого клиента как результат ошибки сотрудников брокера либо сбоя программного обеспечения;</w:t>
      </w:r>
    </w:p>
    <w:p w14:paraId="2E9BE1C6" w14:textId="77777777" w:rsidR="00467739" w:rsidRPr="00E85EC1" w:rsidRDefault="00467739" w:rsidP="00467739">
      <w:pPr>
        <w:autoSpaceDE w:val="0"/>
        <w:autoSpaceDN w:val="0"/>
        <w:adjustRightInd w:val="0"/>
        <w:spacing w:before="120" w:after="120" w:line="240" w:lineRule="auto"/>
        <w:ind w:left="32"/>
        <w:mirrorIndents/>
        <w:jc w:val="both"/>
        <w:rPr>
          <w:rFonts w:ascii="Times New Roman" w:hAnsi="Times New Roman" w:cs="Times New Roman"/>
          <w:sz w:val="18"/>
          <w:szCs w:val="18"/>
        </w:rPr>
      </w:pPr>
      <w:r w:rsidRPr="00E85EC1">
        <w:rPr>
          <w:rFonts w:ascii="Times New Roman" w:hAnsi="Times New Roman" w:cs="Times New Roman"/>
          <w:sz w:val="18"/>
          <w:szCs w:val="18"/>
        </w:rPr>
        <w:t>риск неплатежа по сделке, связанный с недостачей денежных средств.</w:t>
      </w:r>
    </w:p>
    <w:p w14:paraId="2D313309" w14:textId="77777777" w:rsidR="00467739" w:rsidRPr="00E85EC1" w:rsidRDefault="00467739" w:rsidP="00467739">
      <w:pPr>
        <w:tabs>
          <w:tab w:val="num" w:pos="1145"/>
        </w:tabs>
        <w:autoSpaceDE w:val="0"/>
        <w:autoSpaceDN w:val="0"/>
        <w:adjustRightInd w:val="0"/>
        <w:spacing w:before="120" w:after="120" w:line="240" w:lineRule="auto"/>
        <w:ind w:left="32"/>
        <w:mirrorIndents/>
        <w:jc w:val="both"/>
        <w:rPr>
          <w:rFonts w:ascii="Times New Roman" w:hAnsi="Times New Roman" w:cs="Times New Roman"/>
          <w:sz w:val="18"/>
          <w:szCs w:val="18"/>
        </w:rPr>
      </w:pPr>
      <w:r w:rsidRPr="00E85EC1">
        <w:rPr>
          <w:rFonts w:ascii="Times New Roman" w:hAnsi="Times New Roman" w:cs="Times New Roman"/>
          <w:sz w:val="18"/>
          <w:szCs w:val="18"/>
        </w:rPr>
        <w:t>в случае зачисления денежных средств Клиента на собственный банковский счет брокера, указанные выше риски могут возникнуть как из-за отсутствия на счете брокера достаточного количества денежных средств, так и из-за обращения взыскания на имущество брокера или невозможности осуществить операцию по банковскому счету брокера в виду приставления операций по нему в случаях, установленных законодательством.</w:t>
      </w:r>
    </w:p>
    <w:p w14:paraId="537FAC65" w14:textId="0082285D" w:rsidR="00467739" w:rsidRPr="00E85EC1" w:rsidRDefault="00467739" w:rsidP="00467739">
      <w:pPr>
        <w:tabs>
          <w:tab w:val="num" w:pos="1145"/>
        </w:tabs>
        <w:autoSpaceDE w:val="0"/>
        <w:autoSpaceDN w:val="0"/>
        <w:adjustRightInd w:val="0"/>
        <w:spacing w:before="120" w:after="120" w:line="240" w:lineRule="auto"/>
        <w:ind w:left="32"/>
        <w:mirrorIndents/>
        <w:jc w:val="both"/>
        <w:rPr>
          <w:rFonts w:ascii="Times New Roman" w:hAnsi="Times New Roman" w:cs="Times New Roman"/>
          <w:sz w:val="18"/>
          <w:szCs w:val="18"/>
        </w:rPr>
      </w:pPr>
      <w:r w:rsidRPr="00E85EC1">
        <w:rPr>
          <w:rFonts w:ascii="Times New Roman" w:hAnsi="Times New Roman" w:cs="Times New Roman"/>
          <w:sz w:val="18"/>
          <w:szCs w:val="18"/>
        </w:rPr>
        <w:t xml:space="preserve">Клиент, предоставивший Компании право использования в своих интересах денежных средств Клиента, вправе в любое время отказать Компании в предоставлении такого права. Отказ от предоставления Компании права использования в своих интересах денежных средств Клиента направляется в виде Заявления об изменении условий </w:t>
      </w:r>
      <w:r w:rsidR="00C149E9" w:rsidRPr="00E85EC1">
        <w:rPr>
          <w:rFonts w:ascii="Times New Roman" w:hAnsi="Times New Roman" w:cs="Times New Roman"/>
          <w:sz w:val="18"/>
          <w:szCs w:val="18"/>
        </w:rPr>
        <w:t>б</w:t>
      </w:r>
      <w:r w:rsidRPr="00E85EC1">
        <w:rPr>
          <w:rFonts w:ascii="Times New Roman" w:hAnsi="Times New Roman" w:cs="Times New Roman"/>
          <w:sz w:val="18"/>
          <w:szCs w:val="18"/>
        </w:rPr>
        <w:t>рокерского обслуживания (Приложение № 1</w:t>
      </w:r>
      <w:r w:rsidR="00C149E9" w:rsidRPr="00E85EC1">
        <w:rPr>
          <w:rFonts w:ascii="Times New Roman" w:hAnsi="Times New Roman" w:cs="Times New Roman"/>
          <w:sz w:val="18"/>
          <w:szCs w:val="18"/>
        </w:rPr>
        <w:t>.</w:t>
      </w:r>
      <w:r w:rsidRPr="00E85EC1">
        <w:rPr>
          <w:rFonts w:ascii="Times New Roman" w:hAnsi="Times New Roman" w:cs="Times New Roman"/>
          <w:sz w:val="18"/>
          <w:szCs w:val="18"/>
        </w:rPr>
        <w:t xml:space="preserve">2 к Регламенту </w:t>
      </w:r>
      <w:r w:rsidR="00C149E9" w:rsidRPr="00E85EC1">
        <w:rPr>
          <w:rFonts w:ascii="Times New Roman" w:hAnsi="Times New Roman" w:cs="Times New Roman"/>
          <w:sz w:val="18"/>
          <w:szCs w:val="18"/>
        </w:rPr>
        <w:t>брокерского обслуживания</w:t>
      </w:r>
      <w:r w:rsidR="00E57CAC">
        <w:rPr>
          <w:rFonts w:ascii="Times New Roman" w:hAnsi="Times New Roman" w:cs="Times New Roman"/>
          <w:sz w:val="18"/>
          <w:szCs w:val="18"/>
        </w:rPr>
        <w:t xml:space="preserve"> </w:t>
      </w:r>
      <w:r w:rsidR="00D525B5">
        <w:rPr>
          <w:rFonts w:ascii="Times New Roman" w:hAnsi="Times New Roman" w:cs="Times New Roman"/>
          <w:sz w:val="18"/>
          <w:szCs w:val="18"/>
        </w:rPr>
        <w:t>А</w:t>
      </w:r>
      <w:r w:rsidR="00E57CAC" w:rsidRPr="00E57CAC">
        <w:rPr>
          <w:rFonts w:ascii="Times New Roman" w:hAnsi="Times New Roman" w:cs="Times New Roman"/>
          <w:sz w:val="18"/>
          <w:szCs w:val="18"/>
        </w:rPr>
        <w:t>О «</w:t>
      </w:r>
      <w:r w:rsidR="00D525B5">
        <w:rPr>
          <w:rFonts w:ascii="Times New Roman" w:hAnsi="Times New Roman" w:cs="Times New Roman"/>
          <w:sz w:val="18"/>
          <w:szCs w:val="18"/>
        </w:rPr>
        <w:t>И</w:t>
      </w:r>
      <w:r w:rsidR="00E57CAC" w:rsidRPr="00E57CAC">
        <w:rPr>
          <w:rFonts w:ascii="Times New Roman" w:hAnsi="Times New Roman" w:cs="Times New Roman"/>
          <w:sz w:val="18"/>
          <w:szCs w:val="18"/>
        </w:rPr>
        <w:t>К «Горизонт»</w:t>
      </w:r>
      <w:r w:rsidRPr="00E85EC1">
        <w:rPr>
          <w:rFonts w:ascii="Times New Roman" w:hAnsi="Times New Roman" w:cs="Times New Roman"/>
          <w:sz w:val="18"/>
          <w:szCs w:val="18"/>
        </w:rPr>
        <w:t xml:space="preserve">) </w:t>
      </w:r>
      <w:r w:rsidRPr="00E85EC1">
        <w:rPr>
          <w:rFonts w:ascii="Times New Roman" w:hAnsi="Times New Roman" w:cs="Times New Roman"/>
          <w:sz w:val="18"/>
          <w:szCs w:val="18"/>
          <w:lang w:val="en-US"/>
        </w:rPr>
        <w:t>c</w:t>
      </w:r>
      <w:r w:rsidRPr="00E85EC1">
        <w:rPr>
          <w:rFonts w:ascii="Times New Roman" w:hAnsi="Times New Roman" w:cs="Times New Roman"/>
          <w:sz w:val="18"/>
          <w:szCs w:val="18"/>
        </w:rPr>
        <w:t xml:space="preserve"> отметкой об отказе от предоставления Компании соответствующего права. Такое заявление направляется в соответствии с порядком, установленным </w:t>
      </w:r>
      <w:r w:rsidR="00415599" w:rsidRPr="00E85EC1">
        <w:rPr>
          <w:rFonts w:ascii="Times New Roman" w:hAnsi="Times New Roman" w:cs="Times New Roman"/>
          <w:sz w:val="18"/>
          <w:szCs w:val="18"/>
        </w:rPr>
        <w:t>ч</w:t>
      </w:r>
      <w:r w:rsidRPr="00E85EC1">
        <w:rPr>
          <w:rFonts w:ascii="Times New Roman" w:hAnsi="Times New Roman" w:cs="Times New Roman"/>
          <w:sz w:val="18"/>
          <w:szCs w:val="18"/>
        </w:rPr>
        <w:t xml:space="preserve">астью 2 Регламента </w:t>
      </w:r>
      <w:r w:rsidR="00C21651" w:rsidRPr="00E85EC1">
        <w:rPr>
          <w:rFonts w:ascii="Times New Roman" w:hAnsi="Times New Roman" w:cs="Times New Roman"/>
          <w:sz w:val="18"/>
          <w:szCs w:val="18"/>
        </w:rPr>
        <w:t>брокерского обслуживания</w:t>
      </w:r>
      <w:r w:rsidR="00E57CAC">
        <w:rPr>
          <w:rFonts w:ascii="Times New Roman" w:hAnsi="Times New Roman" w:cs="Times New Roman"/>
          <w:sz w:val="18"/>
          <w:szCs w:val="18"/>
        </w:rPr>
        <w:t xml:space="preserve"> </w:t>
      </w:r>
      <w:r w:rsidR="00D525B5">
        <w:rPr>
          <w:rFonts w:ascii="Times New Roman" w:hAnsi="Times New Roman" w:cs="Times New Roman"/>
          <w:sz w:val="18"/>
          <w:szCs w:val="18"/>
        </w:rPr>
        <w:t>А</w:t>
      </w:r>
      <w:r w:rsidR="00E57CAC" w:rsidRPr="00E57CAC">
        <w:rPr>
          <w:rFonts w:ascii="Times New Roman" w:hAnsi="Times New Roman" w:cs="Times New Roman"/>
          <w:sz w:val="18"/>
          <w:szCs w:val="18"/>
        </w:rPr>
        <w:t>О «</w:t>
      </w:r>
      <w:r w:rsidR="00D525B5">
        <w:rPr>
          <w:rFonts w:ascii="Times New Roman" w:hAnsi="Times New Roman" w:cs="Times New Roman"/>
          <w:sz w:val="18"/>
          <w:szCs w:val="18"/>
        </w:rPr>
        <w:t>И</w:t>
      </w:r>
      <w:r w:rsidR="00E57CAC" w:rsidRPr="00E57CAC">
        <w:rPr>
          <w:rFonts w:ascii="Times New Roman" w:hAnsi="Times New Roman" w:cs="Times New Roman"/>
          <w:sz w:val="18"/>
          <w:szCs w:val="18"/>
        </w:rPr>
        <w:t>К «Горизонт»</w:t>
      </w:r>
      <w:r w:rsidRPr="00E85EC1">
        <w:rPr>
          <w:rFonts w:ascii="Times New Roman" w:hAnsi="Times New Roman" w:cs="Times New Roman"/>
          <w:sz w:val="18"/>
          <w:szCs w:val="18"/>
        </w:rPr>
        <w:t>.</w:t>
      </w:r>
    </w:p>
    <w:p w14:paraId="1BE2E371" w14:textId="3B149904" w:rsidR="00E57CAC" w:rsidRPr="00E57CAC" w:rsidRDefault="00467739" w:rsidP="00E57CAC">
      <w:pPr>
        <w:tabs>
          <w:tab w:val="num" w:pos="1145"/>
        </w:tabs>
        <w:autoSpaceDE w:val="0"/>
        <w:autoSpaceDN w:val="0"/>
        <w:adjustRightInd w:val="0"/>
        <w:spacing w:before="120" w:after="120" w:line="240" w:lineRule="auto"/>
        <w:ind w:left="32"/>
        <w:mirrorIndents/>
        <w:jc w:val="both"/>
        <w:rPr>
          <w:rFonts w:ascii="Times New Roman" w:hAnsi="Times New Roman" w:cs="Times New Roman"/>
          <w:sz w:val="18"/>
          <w:szCs w:val="18"/>
        </w:rPr>
      </w:pPr>
      <w:r w:rsidRPr="00E85EC1">
        <w:rPr>
          <w:rFonts w:ascii="Times New Roman" w:hAnsi="Times New Roman" w:cs="Times New Roman"/>
          <w:sz w:val="18"/>
          <w:szCs w:val="18"/>
        </w:rPr>
        <w:t xml:space="preserve">Реализуя свое право на отказ от предоставления Компании права использования в своих интересах денежных средств Клиента, Клиенту следует учитывать, что такой отказ влечет невозможность совершения Клиентом </w:t>
      </w:r>
      <w:r w:rsidR="00E57CAC" w:rsidRPr="00E57CAC">
        <w:rPr>
          <w:rFonts w:ascii="Times New Roman" w:hAnsi="Times New Roman" w:cs="Times New Roman"/>
          <w:sz w:val="18"/>
          <w:szCs w:val="18"/>
        </w:rPr>
        <w:t xml:space="preserve">сделок и договоров, перечисленных в п. 1.5.7 Регламента </w:t>
      </w:r>
      <w:r w:rsidR="00E57CAC">
        <w:rPr>
          <w:rFonts w:ascii="Times New Roman" w:hAnsi="Times New Roman" w:cs="Times New Roman"/>
          <w:sz w:val="18"/>
          <w:szCs w:val="18"/>
        </w:rPr>
        <w:t>брокерского</w:t>
      </w:r>
      <w:r w:rsidR="00E57CAC" w:rsidRPr="00E57CAC">
        <w:rPr>
          <w:rFonts w:ascii="Times New Roman" w:hAnsi="Times New Roman" w:cs="Times New Roman"/>
          <w:sz w:val="18"/>
          <w:szCs w:val="18"/>
        </w:rPr>
        <w:t xml:space="preserve"> обслуживания</w:t>
      </w:r>
      <w:r w:rsidR="00E57CAC">
        <w:rPr>
          <w:rFonts w:ascii="Times New Roman" w:hAnsi="Times New Roman" w:cs="Times New Roman"/>
          <w:sz w:val="18"/>
          <w:szCs w:val="18"/>
        </w:rPr>
        <w:t xml:space="preserve"> </w:t>
      </w:r>
      <w:r w:rsidR="00D525B5">
        <w:rPr>
          <w:rFonts w:ascii="Times New Roman" w:hAnsi="Times New Roman" w:cs="Times New Roman"/>
          <w:sz w:val="18"/>
          <w:szCs w:val="18"/>
        </w:rPr>
        <w:t>А</w:t>
      </w:r>
      <w:r w:rsidR="00E57CAC" w:rsidRPr="00E57CAC">
        <w:rPr>
          <w:rFonts w:ascii="Times New Roman" w:hAnsi="Times New Roman" w:cs="Times New Roman"/>
          <w:sz w:val="18"/>
          <w:szCs w:val="18"/>
        </w:rPr>
        <w:t>О «</w:t>
      </w:r>
      <w:r w:rsidR="00D525B5">
        <w:rPr>
          <w:rFonts w:ascii="Times New Roman" w:hAnsi="Times New Roman" w:cs="Times New Roman"/>
          <w:sz w:val="18"/>
          <w:szCs w:val="18"/>
        </w:rPr>
        <w:t>И</w:t>
      </w:r>
      <w:r w:rsidR="00E57CAC" w:rsidRPr="00E57CAC">
        <w:rPr>
          <w:rFonts w:ascii="Times New Roman" w:hAnsi="Times New Roman" w:cs="Times New Roman"/>
          <w:sz w:val="18"/>
          <w:szCs w:val="18"/>
        </w:rPr>
        <w:t>К «Горизонт».</w:t>
      </w:r>
    </w:p>
    <w:p w14:paraId="6225D40A" w14:textId="2E62F90E" w:rsidR="00E57CAC" w:rsidRPr="00E85EC1" w:rsidRDefault="00E57CAC" w:rsidP="00E57CAC">
      <w:pPr>
        <w:autoSpaceDE w:val="0"/>
        <w:autoSpaceDN w:val="0"/>
        <w:adjustRightInd w:val="0"/>
        <w:spacing w:before="120" w:after="120" w:line="240" w:lineRule="auto"/>
        <w:ind w:left="32"/>
        <w:mirrorIndents/>
        <w:jc w:val="both"/>
        <w:rPr>
          <w:rFonts w:ascii="Times New Roman" w:hAnsi="Times New Roman" w:cs="Times New Roman"/>
          <w:sz w:val="18"/>
          <w:szCs w:val="18"/>
        </w:rPr>
      </w:pPr>
      <w:r w:rsidRPr="00E57CAC">
        <w:rPr>
          <w:rFonts w:ascii="Times New Roman" w:hAnsi="Times New Roman" w:cs="Times New Roman"/>
          <w:sz w:val="18"/>
          <w:szCs w:val="18"/>
        </w:rPr>
        <w:t xml:space="preserve">В случае, если отказ от предоставления Компании права использования денежных средств Клиента в своих интересах заявляется Клиентом, </w:t>
      </w:r>
      <w:r>
        <w:rPr>
          <w:rFonts w:ascii="Times New Roman" w:hAnsi="Times New Roman" w:cs="Times New Roman"/>
          <w:sz w:val="18"/>
          <w:szCs w:val="18"/>
        </w:rPr>
        <w:t>б</w:t>
      </w:r>
      <w:r w:rsidRPr="00E57CAC">
        <w:rPr>
          <w:rFonts w:ascii="Times New Roman" w:hAnsi="Times New Roman" w:cs="Times New Roman"/>
          <w:sz w:val="18"/>
          <w:szCs w:val="18"/>
        </w:rPr>
        <w:t xml:space="preserve">рокерское обслуживания которого осуществляется на условиях Единого лимита, такой отказ является отказом Клиента от </w:t>
      </w:r>
      <w:r>
        <w:rPr>
          <w:rFonts w:ascii="Times New Roman" w:hAnsi="Times New Roman" w:cs="Times New Roman"/>
          <w:sz w:val="18"/>
          <w:szCs w:val="18"/>
        </w:rPr>
        <w:t>б</w:t>
      </w:r>
      <w:r w:rsidRPr="00E57CAC">
        <w:rPr>
          <w:rFonts w:ascii="Times New Roman" w:hAnsi="Times New Roman" w:cs="Times New Roman"/>
          <w:sz w:val="18"/>
          <w:szCs w:val="18"/>
        </w:rPr>
        <w:t xml:space="preserve">рокерского обслуживания на условиях Единого лимита. В этом случае отказ Клиента от оказания ему Брокерского обслуживания на условиях Единого лимита считается заявленным вне зависимости от наличия отдельной отметки о прекращении </w:t>
      </w:r>
      <w:r>
        <w:rPr>
          <w:rFonts w:ascii="Times New Roman" w:hAnsi="Times New Roman" w:cs="Times New Roman"/>
          <w:sz w:val="18"/>
          <w:szCs w:val="18"/>
        </w:rPr>
        <w:t>б</w:t>
      </w:r>
      <w:r w:rsidRPr="00E57CAC">
        <w:rPr>
          <w:rFonts w:ascii="Times New Roman" w:hAnsi="Times New Roman" w:cs="Times New Roman"/>
          <w:sz w:val="18"/>
          <w:szCs w:val="18"/>
        </w:rPr>
        <w:t xml:space="preserve">рокерского обслуживания на условиях Единого лимита в таком Заявлении об изменении условий </w:t>
      </w:r>
      <w:r>
        <w:rPr>
          <w:rFonts w:ascii="Times New Roman" w:hAnsi="Times New Roman" w:cs="Times New Roman"/>
          <w:sz w:val="18"/>
          <w:szCs w:val="18"/>
        </w:rPr>
        <w:t>б</w:t>
      </w:r>
      <w:r w:rsidRPr="00E57CAC">
        <w:rPr>
          <w:rFonts w:ascii="Times New Roman" w:hAnsi="Times New Roman" w:cs="Times New Roman"/>
          <w:sz w:val="18"/>
          <w:szCs w:val="18"/>
        </w:rPr>
        <w:t>рокерского обслуживания (Приложение № 1</w:t>
      </w:r>
      <w:r>
        <w:rPr>
          <w:rFonts w:ascii="Times New Roman" w:hAnsi="Times New Roman" w:cs="Times New Roman"/>
          <w:sz w:val="18"/>
          <w:szCs w:val="18"/>
        </w:rPr>
        <w:t>.2</w:t>
      </w:r>
      <w:r w:rsidRPr="00E57CAC">
        <w:rPr>
          <w:rFonts w:ascii="Times New Roman" w:hAnsi="Times New Roman" w:cs="Times New Roman"/>
          <w:sz w:val="18"/>
          <w:szCs w:val="18"/>
        </w:rPr>
        <w:t xml:space="preserve"> к Регламента </w:t>
      </w:r>
      <w:r>
        <w:rPr>
          <w:rFonts w:ascii="Times New Roman" w:hAnsi="Times New Roman" w:cs="Times New Roman"/>
          <w:sz w:val="18"/>
          <w:szCs w:val="18"/>
        </w:rPr>
        <w:t>брокерского</w:t>
      </w:r>
      <w:r w:rsidRPr="00E57CAC">
        <w:rPr>
          <w:rFonts w:ascii="Times New Roman" w:hAnsi="Times New Roman" w:cs="Times New Roman"/>
          <w:sz w:val="18"/>
          <w:szCs w:val="18"/>
        </w:rPr>
        <w:t xml:space="preserve"> обслуживания</w:t>
      </w:r>
      <w:r>
        <w:rPr>
          <w:rFonts w:ascii="Times New Roman" w:hAnsi="Times New Roman" w:cs="Times New Roman"/>
          <w:sz w:val="18"/>
          <w:szCs w:val="18"/>
        </w:rPr>
        <w:t xml:space="preserve"> </w:t>
      </w:r>
      <w:r w:rsidR="00D525B5">
        <w:rPr>
          <w:rFonts w:ascii="Times New Roman" w:hAnsi="Times New Roman" w:cs="Times New Roman"/>
          <w:sz w:val="18"/>
          <w:szCs w:val="18"/>
        </w:rPr>
        <w:t>А</w:t>
      </w:r>
      <w:r w:rsidRPr="00E57CAC">
        <w:rPr>
          <w:rFonts w:ascii="Times New Roman" w:hAnsi="Times New Roman" w:cs="Times New Roman"/>
          <w:sz w:val="18"/>
          <w:szCs w:val="18"/>
        </w:rPr>
        <w:t>О «</w:t>
      </w:r>
      <w:r w:rsidR="00D525B5">
        <w:rPr>
          <w:rFonts w:ascii="Times New Roman" w:hAnsi="Times New Roman" w:cs="Times New Roman"/>
          <w:sz w:val="18"/>
          <w:szCs w:val="18"/>
        </w:rPr>
        <w:t>И</w:t>
      </w:r>
      <w:r w:rsidRPr="00E57CAC">
        <w:rPr>
          <w:rFonts w:ascii="Times New Roman" w:hAnsi="Times New Roman" w:cs="Times New Roman"/>
          <w:sz w:val="18"/>
          <w:szCs w:val="18"/>
        </w:rPr>
        <w:t>К «Горизонт»).</w:t>
      </w:r>
    </w:p>
    <w:p w14:paraId="4412A6DE" w14:textId="06BD4E83" w:rsidR="00467739" w:rsidRPr="00E85EC1" w:rsidRDefault="00467739" w:rsidP="00E57CAC">
      <w:pPr>
        <w:tabs>
          <w:tab w:val="num" w:pos="1145"/>
        </w:tabs>
        <w:autoSpaceDE w:val="0"/>
        <w:autoSpaceDN w:val="0"/>
        <w:adjustRightInd w:val="0"/>
        <w:spacing w:before="120" w:after="120" w:line="240" w:lineRule="auto"/>
        <w:ind w:left="32"/>
        <w:mirrorIndents/>
        <w:jc w:val="both"/>
        <w:rPr>
          <w:rFonts w:ascii="Times New Roman" w:hAnsi="Times New Roman" w:cs="Times New Roman"/>
          <w:sz w:val="18"/>
          <w:szCs w:val="18"/>
        </w:rPr>
      </w:pPr>
      <w:r w:rsidRPr="00E85EC1">
        <w:rPr>
          <w:rFonts w:ascii="Times New Roman" w:hAnsi="Times New Roman" w:cs="Times New Roman"/>
          <w:sz w:val="18"/>
          <w:szCs w:val="18"/>
        </w:rPr>
        <w:t>2. Риски, связанные с использованием брокером ценных бумаг клиента в своих интересах</w:t>
      </w:r>
    </w:p>
    <w:p w14:paraId="1A98690B" w14:textId="218F7512" w:rsidR="00467739" w:rsidRPr="00E85EC1" w:rsidRDefault="00467739" w:rsidP="00467739">
      <w:pPr>
        <w:tabs>
          <w:tab w:val="left" w:pos="1134"/>
        </w:tabs>
        <w:spacing w:before="120" w:after="120" w:line="240" w:lineRule="auto"/>
        <w:ind w:left="32"/>
        <w:mirrorIndents/>
        <w:jc w:val="both"/>
        <w:rPr>
          <w:rFonts w:ascii="Times New Roman" w:hAnsi="Times New Roman" w:cs="Times New Roman"/>
          <w:sz w:val="18"/>
          <w:szCs w:val="18"/>
        </w:rPr>
      </w:pPr>
      <w:r w:rsidRPr="00E85EC1">
        <w:rPr>
          <w:rFonts w:ascii="Times New Roman" w:hAnsi="Times New Roman" w:cs="Times New Roman"/>
          <w:sz w:val="18"/>
          <w:szCs w:val="18"/>
        </w:rPr>
        <w:t>Используя ваши ценные бумаги в своих интересах, брокер обязан исполнить требование о возврате ценных бумаг, используемых в его интересах, в сроки, предусмотренные договором</w:t>
      </w:r>
      <w:r w:rsidR="00C21651" w:rsidRPr="00E85EC1">
        <w:rPr>
          <w:rFonts w:ascii="Times New Roman" w:hAnsi="Times New Roman" w:cs="Times New Roman"/>
          <w:sz w:val="18"/>
          <w:szCs w:val="18"/>
        </w:rPr>
        <w:t xml:space="preserve"> о брокерском обслуживании</w:t>
      </w:r>
      <w:r w:rsidRPr="00E85EC1">
        <w:rPr>
          <w:rFonts w:ascii="Times New Roman" w:hAnsi="Times New Roman" w:cs="Times New Roman"/>
          <w:sz w:val="18"/>
          <w:szCs w:val="18"/>
        </w:rPr>
        <w:t>.</w:t>
      </w:r>
    </w:p>
    <w:p w14:paraId="64028F07" w14:textId="77777777" w:rsidR="00467739" w:rsidRPr="00E85EC1" w:rsidRDefault="00467739" w:rsidP="00467739">
      <w:pPr>
        <w:tabs>
          <w:tab w:val="left" w:pos="1134"/>
        </w:tabs>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В результате использования брокером ваших бумаг возникают дополнительные условия (1) для реализации риска контрагента и риска неисполнения брокером обязательств перед вами, связанные с неисполнением или ненадлежащим исполнением обязательств по возврату ценных бумаг, переданных контрагенту, (2) для реализации операционного риска, связанного с увеличением количества транзакций с ценными бумагами и как следствие увеличением вероятности ошибок внутренних процедур сотрудников брокера и/или контрагента.</w:t>
      </w:r>
    </w:p>
    <w:p w14:paraId="5135FD0C" w14:textId="77777777" w:rsidR="00467739" w:rsidRPr="00E85EC1" w:rsidRDefault="00467739" w:rsidP="00467739">
      <w:pPr>
        <w:tabs>
          <w:tab w:val="left" w:pos="1134"/>
        </w:tabs>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В случае, если список лиц, имеющих право на получение от эмитента или лица, обязанного по ценным бумагам, денежных средств, а также иного имущества, определяется в период использования этих ценных бумаг в интересах брокера, брокер обязан передать вам суммы денежных средств, а также иное имущество, выплаченное (переданное) эмитентом или лицом, обязанным по ценным бумагам, в том числе в виде дивидендов и процентов по таким ценным бумагам.</w:t>
      </w:r>
    </w:p>
    <w:p w14:paraId="1F3998B7" w14:textId="77777777" w:rsidR="00467739" w:rsidRPr="00E85EC1" w:rsidRDefault="00467739" w:rsidP="00467739">
      <w:pPr>
        <w:tabs>
          <w:tab w:val="left" w:pos="1134"/>
        </w:tabs>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Обратите внимание на то, что в случае составления списка лиц, осуществляющих права по ценным бумагам (имеющих право на участие в общем собрании владельцев ценных бумаг, имеющих преимущественное право приобретения ценных бумаг, и другое) в период использования этих ценных бумаг в интересах брокера, вы можете быть не включены в указанный список. Если осуществление прав по ценным бумагам важно для вас, не предоставляйте брокеру право использования ваших ценных бумаг в его интересах.</w:t>
      </w:r>
    </w:p>
    <w:p w14:paraId="7FA478C5" w14:textId="77777777" w:rsidR="00467739" w:rsidRPr="00E85EC1" w:rsidRDefault="00467739" w:rsidP="00467739">
      <w:pPr>
        <w:tabs>
          <w:tab w:val="left" w:pos="1134"/>
        </w:tabs>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Ваш брокер является членом НАУФОР, к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w:t>
      </w:r>
    </w:p>
    <w:p w14:paraId="63BA2B07" w14:textId="1A093A91" w:rsidR="00467739" w:rsidRPr="00E85EC1" w:rsidRDefault="00467739" w:rsidP="00467739">
      <w:pPr>
        <w:tabs>
          <w:tab w:val="left" w:pos="1134"/>
        </w:tabs>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 xml:space="preserve">Клиент, предоставивший Компании право использования в своих интересах ценных бумаг Клиента, вправе в любое время отказать Компании в предоставлении такого права. Отказ от предоставления Компании права использования в своих интересах ценных бумаг Клиента направляется в виде Заявления об изменении условий </w:t>
      </w:r>
      <w:r w:rsidR="00C149E9" w:rsidRPr="00E85EC1">
        <w:rPr>
          <w:rFonts w:ascii="Times New Roman" w:hAnsi="Times New Roman" w:cs="Times New Roman"/>
          <w:sz w:val="18"/>
          <w:szCs w:val="18"/>
        </w:rPr>
        <w:t>б</w:t>
      </w:r>
      <w:r w:rsidRPr="00E85EC1">
        <w:rPr>
          <w:rFonts w:ascii="Times New Roman" w:hAnsi="Times New Roman" w:cs="Times New Roman"/>
          <w:sz w:val="18"/>
          <w:szCs w:val="18"/>
        </w:rPr>
        <w:t>рокерского обслуживания (Приложение № 1</w:t>
      </w:r>
      <w:r w:rsidR="00C149E9" w:rsidRPr="00E85EC1">
        <w:rPr>
          <w:rFonts w:ascii="Times New Roman" w:hAnsi="Times New Roman" w:cs="Times New Roman"/>
          <w:sz w:val="18"/>
          <w:szCs w:val="18"/>
        </w:rPr>
        <w:t>.</w:t>
      </w:r>
      <w:r w:rsidRPr="00E85EC1">
        <w:rPr>
          <w:rFonts w:ascii="Times New Roman" w:hAnsi="Times New Roman" w:cs="Times New Roman"/>
          <w:sz w:val="18"/>
          <w:szCs w:val="18"/>
        </w:rPr>
        <w:t xml:space="preserve">2 к Регламенту </w:t>
      </w:r>
      <w:r w:rsidR="00C149E9" w:rsidRPr="00E85EC1">
        <w:rPr>
          <w:rFonts w:ascii="Times New Roman" w:hAnsi="Times New Roman" w:cs="Times New Roman"/>
          <w:sz w:val="18"/>
          <w:szCs w:val="18"/>
        </w:rPr>
        <w:t>брокерского обслуживания</w:t>
      </w:r>
      <w:r w:rsidR="00E57CAC">
        <w:rPr>
          <w:rFonts w:ascii="Times New Roman" w:hAnsi="Times New Roman" w:cs="Times New Roman"/>
          <w:sz w:val="18"/>
          <w:szCs w:val="18"/>
        </w:rPr>
        <w:t xml:space="preserve"> </w:t>
      </w:r>
      <w:r w:rsidR="00D525B5">
        <w:rPr>
          <w:rFonts w:ascii="Times New Roman" w:hAnsi="Times New Roman" w:cs="Times New Roman"/>
          <w:sz w:val="18"/>
          <w:szCs w:val="18"/>
        </w:rPr>
        <w:t>А</w:t>
      </w:r>
      <w:r w:rsidR="00E57CAC" w:rsidRPr="00E57CAC">
        <w:rPr>
          <w:rFonts w:ascii="Times New Roman" w:hAnsi="Times New Roman" w:cs="Times New Roman"/>
          <w:sz w:val="18"/>
          <w:szCs w:val="18"/>
        </w:rPr>
        <w:t>О «</w:t>
      </w:r>
      <w:r w:rsidR="00D525B5">
        <w:rPr>
          <w:rFonts w:ascii="Times New Roman" w:hAnsi="Times New Roman" w:cs="Times New Roman"/>
          <w:sz w:val="18"/>
          <w:szCs w:val="18"/>
        </w:rPr>
        <w:t>И</w:t>
      </w:r>
      <w:r w:rsidR="00E57CAC" w:rsidRPr="00E57CAC">
        <w:rPr>
          <w:rFonts w:ascii="Times New Roman" w:hAnsi="Times New Roman" w:cs="Times New Roman"/>
          <w:sz w:val="18"/>
          <w:szCs w:val="18"/>
        </w:rPr>
        <w:t>К «Горизонт»</w:t>
      </w:r>
      <w:r w:rsidRPr="00E85EC1">
        <w:rPr>
          <w:rFonts w:ascii="Times New Roman" w:hAnsi="Times New Roman" w:cs="Times New Roman"/>
          <w:sz w:val="18"/>
          <w:szCs w:val="18"/>
        </w:rPr>
        <w:t xml:space="preserve">) с отметкой об отказе от предоставления Компании соответствующего права. Такое заявление направляется в соответствии с порядком, установленным </w:t>
      </w:r>
      <w:r w:rsidR="00415599" w:rsidRPr="00E85EC1">
        <w:rPr>
          <w:rFonts w:ascii="Times New Roman" w:hAnsi="Times New Roman" w:cs="Times New Roman"/>
          <w:sz w:val="18"/>
          <w:szCs w:val="18"/>
        </w:rPr>
        <w:t>ч</w:t>
      </w:r>
      <w:r w:rsidRPr="00E85EC1">
        <w:rPr>
          <w:rFonts w:ascii="Times New Roman" w:hAnsi="Times New Roman" w:cs="Times New Roman"/>
          <w:sz w:val="18"/>
          <w:szCs w:val="18"/>
        </w:rPr>
        <w:t xml:space="preserve">астью 2 Регламента </w:t>
      </w:r>
      <w:r w:rsidR="00C149E9" w:rsidRPr="00E85EC1">
        <w:rPr>
          <w:rFonts w:ascii="Times New Roman" w:hAnsi="Times New Roman" w:cs="Times New Roman"/>
          <w:sz w:val="18"/>
          <w:szCs w:val="18"/>
        </w:rPr>
        <w:t>брокерского обслуживания</w:t>
      </w:r>
      <w:r w:rsidR="00E57CAC">
        <w:rPr>
          <w:rFonts w:ascii="Times New Roman" w:hAnsi="Times New Roman" w:cs="Times New Roman"/>
          <w:sz w:val="18"/>
          <w:szCs w:val="18"/>
        </w:rPr>
        <w:t xml:space="preserve"> </w:t>
      </w:r>
      <w:r w:rsidR="00D525B5">
        <w:rPr>
          <w:rFonts w:ascii="Times New Roman" w:hAnsi="Times New Roman" w:cs="Times New Roman"/>
          <w:sz w:val="18"/>
          <w:szCs w:val="18"/>
        </w:rPr>
        <w:t>А</w:t>
      </w:r>
      <w:r w:rsidR="00E57CAC" w:rsidRPr="00E57CAC">
        <w:rPr>
          <w:rFonts w:ascii="Times New Roman" w:hAnsi="Times New Roman" w:cs="Times New Roman"/>
          <w:sz w:val="18"/>
          <w:szCs w:val="18"/>
        </w:rPr>
        <w:t>О «</w:t>
      </w:r>
      <w:r w:rsidR="00D525B5">
        <w:rPr>
          <w:rFonts w:ascii="Times New Roman" w:hAnsi="Times New Roman" w:cs="Times New Roman"/>
          <w:sz w:val="18"/>
          <w:szCs w:val="18"/>
        </w:rPr>
        <w:t>И</w:t>
      </w:r>
      <w:r w:rsidR="00E57CAC" w:rsidRPr="00E57CAC">
        <w:rPr>
          <w:rFonts w:ascii="Times New Roman" w:hAnsi="Times New Roman" w:cs="Times New Roman"/>
          <w:sz w:val="18"/>
          <w:szCs w:val="18"/>
        </w:rPr>
        <w:t>К «Горизонт»</w:t>
      </w:r>
      <w:r w:rsidRPr="00E85EC1">
        <w:rPr>
          <w:rFonts w:ascii="Times New Roman" w:hAnsi="Times New Roman" w:cs="Times New Roman"/>
          <w:sz w:val="18"/>
          <w:szCs w:val="18"/>
        </w:rPr>
        <w:t>.</w:t>
      </w:r>
    </w:p>
    <w:p w14:paraId="7811A958" w14:textId="1DCA7DDF" w:rsidR="00467739" w:rsidRPr="00E85EC1" w:rsidRDefault="00467739" w:rsidP="00467739">
      <w:pPr>
        <w:tabs>
          <w:tab w:val="num" w:pos="1145"/>
        </w:tabs>
        <w:autoSpaceDE w:val="0"/>
        <w:autoSpaceDN w:val="0"/>
        <w:adjustRightInd w:val="0"/>
        <w:spacing w:before="120" w:after="120" w:line="240" w:lineRule="auto"/>
        <w:ind w:left="32"/>
        <w:mirrorIndents/>
        <w:jc w:val="both"/>
        <w:rPr>
          <w:rFonts w:ascii="Times New Roman" w:hAnsi="Times New Roman" w:cs="Times New Roman"/>
          <w:sz w:val="18"/>
          <w:szCs w:val="18"/>
        </w:rPr>
      </w:pPr>
      <w:r w:rsidRPr="00E85EC1">
        <w:rPr>
          <w:rFonts w:ascii="Times New Roman" w:hAnsi="Times New Roman" w:cs="Times New Roman"/>
          <w:sz w:val="18"/>
          <w:szCs w:val="18"/>
        </w:rPr>
        <w:lastRenderedPageBreak/>
        <w:t xml:space="preserve">Реализуя свое право на отказ от предоставления Компании права использования в своих интересах ценных бумаг Клиента, Клиенту следует учитывать, что такой отказ влечет невозможность совершения Клиентом </w:t>
      </w:r>
      <w:r w:rsidR="00E57CAC" w:rsidRPr="00E57CAC">
        <w:rPr>
          <w:rFonts w:ascii="Times New Roman" w:hAnsi="Times New Roman" w:cs="Times New Roman"/>
          <w:sz w:val="18"/>
          <w:szCs w:val="18"/>
        </w:rPr>
        <w:t xml:space="preserve">сделок и договоров, перечисленных в п. 1.5.7 Регламента </w:t>
      </w:r>
      <w:r w:rsidR="00E57CAC">
        <w:rPr>
          <w:rFonts w:ascii="Times New Roman" w:hAnsi="Times New Roman" w:cs="Times New Roman"/>
          <w:sz w:val="18"/>
          <w:szCs w:val="18"/>
        </w:rPr>
        <w:t>брокерского</w:t>
      </w:r>
      <w:r w:rsidR="00E57CAC" w:rsidRPr="00E57CAC">
        <w:rPr>
          <w:rFonts w:ascii="Times New Roman" w:hAnsi="Times New Roman" w:cs="Times New Roman"/>
          <w:sz w:val="18"/>
          <w:szCs w:val="18"/>
        </w:rPr>
        <w:t xml:space="preserve"> обслуживания</w:t>
      </w:r>
      <w:r w:rsidR="00E57CAC">
        <w:rPr>
          <w:rFonts w:ascii="Times New Roman" w:hAnsi="Times New Roman" w:cs="Times New Roman"/>
          <w:sz w:val="18"/>
          <w:szCs w:val="18"/>
        </w:rPr>
        <w:t xml:space="preserve"> </w:t>
      </w:r>
      <w:r w:rsidR="00D525B5">
        <w:rPr>
          <w:rFonts w:ascii="Times New Roman" w:hAnsi="Times New Roman" w:cs="Times New Roman"/>
          <w:sz w:val="18"/>
          <w:szCs w:val="18"/>
        </w:rPr>
        <w:t>А</w:t>
      </w:r>
      <w:r w:rsidR="00E57CAC" w:rsidRPr="00E57CAC">
        <w:rPr>
          <w:rFonts w:ascii="Times New Roman" w:hAnsi="Times New Roman" w:cs="Times New Roman"/>
          <w:sz w:val="18"/>
          <w:szCs w:val="18"/>
        </w:rPr>
        <w:t>О «</w:t>
      </w:r>
      <w:r w:rsidR="00D525B5">
        <w:rPr>
          <w:rFonts w:ascii="Times New Roman" w:hAnsi="Times New Roman" w:cs="Times New Roman"/>
          <w:sz w:val="18"/>
          <w:szCs w:val="18"/>
        </w:rPr>
        <w:t>И</w:t>
      </w:r>
      <w:r w:rsidR="00E57CAC" w:rsidRPr="00E57CAC">
        <w:rPr>
          <w:rFonts w:ascii="Times New Roman" w:hAnsi="Times New Roman" w:cs="Times New Roman"/>
          <w:sz w:val="18"/>
          <w:szCs w:val="18"/>
        </w:rPr>
        <w:t>К «Горизонт».</w:t>
      </w:r>
    </w:p>
    <w:p w14:paraId="589A9432" w14:textId="7B4B790A" w:rsidR="00467739" w:rsidRPr="00E85EC1" w:rsidRDefault="00467739" w:rsidP="00467739">
      <w:pPr>
        <w:tabs>
          <w:tab w:val="left" w:pos="1134"/>
        </w:tabs>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 xml:space="preserve">Отказ от предоставления Компании права использования в своих интересах денежных средств Клиента является отказом Клиента от предоставления Компании права использования в своих интересах ценных бумаг Клиента. В этом случае отказ Клиента от предоставления Компании права использования в своих интересах ценных бумаг Клиента считается заявленным вне зависимости от наличия отдельной отметки об отказе от предоставления Компании права использования в своих интересах ценных бумаг Клиента в Заявлении об изменении условий </w:t>
      </w:r>
      <w:r w:rsidR="00C149E9" w:rsidRPr="00E85EC1">
        <w:rPr>
          <w:rFonts w:ascii="Times New Roman" w:hAnsi="Times New Roman" w:cs="Times New Roman"/>
          <w:sz w:val="18"/>
          <w:szCs w:val="18"/>
        </w:rPr>
        <w:t>б</w:t>
      </w:r>
      <w:r w:rsidRPr="00E85EC1">
        <w:rPr>
          <w:rFonts w:ascii="Times New Roman" w:hAnsi="Times New Roman" w:cs="Times New Roman"/>
          <w:sz w:val="18"/>
          <w:szCs w:val="18"/>
        </w:rPr>
        <w:t>рокерского обслуживания (Приложение № 1</w:t>
      </w:r>
      <w:r w:rsidR="00C149E9" w:rsidRPr="00E85EC1">
        <w:rPr>
          <w:rFonts w:ascii="Times New Roman" w:hAnsi="Times New Roman" w:cs="Times New Roman"/>
          <w:sz w:val="18"/>
          <w:szCs w:val="18"/>
        </w:rPr>
        <w:t>.</w:t>
      </w:r>
      <w:r w:rsidRPr="00E85EC1">
        <w:rPr>
          <w:rFonts w:ascii="Times New Roman" w:hAnsi="Times New Roman" w:cs="Times New Roman"/>
          <w:sz w:val="18"/>
          <w:szCs w:val="18"/>
        </w:rPr>
        <w:t xml:space="preserve">2 к Регламенту </w:t>
      </w:r>
      <w:r w:rsidR="00C149E9" w:rsidRPr="00E85EC1">
        <w:rPr>
          <w:rFonts w:ascii="Times New Roman" w:hAnsi="Times New Roman" w:cs="Times New Roman"/>
          <w:sz w:val="18"/>
          <w:szCs w:val="18"/>
        </w:rPr>
        <w:t>брокерского обслуживания</w:t>
      </w:r>
      <w:r w:rsidR="00E57CAC">
        <w:rPr>
          <w:rFonts w:ascii="Times New Roman" w:hAnsi="Times New Roman" w:cs="Times New Roman"/>
          <w:sz w:val="18"/>
          <w:szCs w:val="18"/>
        </w:rPr>
        <w:t xml:space="preserve"> </w:t>
      </w:r>
      <w:r w:rsidR="00D525B5">
        <w:rPr>
          <w:rFonts w:ascii="Times New Roman" w:hAnsi="Times New Roman" w:cs="Times New Roman"/>
          <w:sz w:val="18"/>
          <w:szCs w:val="18"/>
        </w:rPr>
        <w:t>А</w:t>
      </w:r>
      <w:r w:rsidR="00E57CAC" w:rsidRPr="00E57CAC">
        <w:rPr>
          <w:rFonts w:ascii="Times New Roman" w:hAnsi="Times New Roman" w:cs="Times New Roman"/>
          <w:sz w:val="18"/>
          <w:szCs w:val="18"/>
        </w:rPr>
        <w:t>О «</w:t>
      </w:r>
      <w:r w:rsidR="00D525B5">
        <w:rPr>
          <w:rFonts w:ascii="Times New Roman" w:hAnsi="Times New Roman" w:cs="Times New Roman"/>
          <w:sz w:val="18"/>
          <w:szCs w:val="18"/>
        </w:rPr>
        <w:t>И</w:t>
      </w:r>
      <w:r w:rsidR="00E57CAC" w:rsidRPr="00E57CAC">
        <w:rPr>
          <w:rFonts w:ascii="Times New Roman" w:hAnsi="Times New Roman" w:cs="Times New Roman"/>
          <w:sz w:val="18"/>
          <w:szCs w:val="18"/>
        </w:rPr>
        <w:t>К «Горизонт»</w:t>
      </w:r>
      <w:r w:rsidRPr="00E85EC1">
        <w:rPr>
          <w:rFonts w:ascii="Times New Roman" w:hAnsi="Times New Roman" w:cs="Times New Roman"/>
          <w:sz w:val="18"/>
          <w:szCs w:val="18"/>
        </w:rPr>
        <w:t>).</w:t>
      </w:r>
    </w:p>
    <w:p w14:paraId="3D342C7D" w14:textId="77777777" w:rsidR="00467739" w:rsidRPr="00E85EC1" w:rsidRDefault="00467739" w:rsidP="00E85EC1">
      <w:pPr>
        <w:pStyle w:val="a3"/>
        <w:numPr>
          <w:ilvl w:val="0"/>
          <w:numId w:val="15"/>
        </w:numPr>
        <w:autoSpaceDE w:val="0"/>
        <w:autoSpaceDN w:val="0"/>
        <w:adjustRightInd w:val="0"/>
        <w:spacing w:before="120" w:after="120" w:line="240" w:lineRule="auto"/>
        <w:mirrorIndents/>
        <w:jc w:val="both"/>
        <w:rPr>
          <w:rFonts w:ascii="Times New Roman" w:eastAsia="MS Gothic" w:hAnsi="Times New Roman" w:cs="Times New Roman"/>
          <w:b/>
          <w:sz w:val="20"/>
          <w:szCs w:val="20"/>
        </w:rPr>
      </w:pPr>
      <w:r w:rsidRPr="00E85EC1">
        <w:rPr>
          <w:rFonts w:ascii="Times New Roman" w:eastAsia="MS Gothic" w:hAnsi="Times New Roman" w:cs="Times New Roman"/>
          <w:b/>
          <w:sz w:val="20"/>
          <w:szCs w:val="20"/>
        </w:rPr>
        <w:t>Уведомление о запрете на осуществлении действий, относящихся к манипулированию рынком, и ограничениях на использование инсайдерской информации и манипулирование рынком</w:t>
      </w:r>
    </w:p>
    <w:p w14:paraId="159B8796" w14:textId="77777777" w:rsidR="00467739" w:rsidRPr="00E85EC1" w:rsidRDefault="00467739" w:rsidP="00467739">
      <w:pPr>
        <w:tabs>
          <w:tab w:val="left" w:pos="1134"/>
        </w:tabs>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Компания уведомляет Клиента, что в соответствии с положениями Федерального закона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от 27.07.2010 № 224-ФЗ (далее по тексту настоящего раздела – Закон):</w:t>
      </w:r>
    </w:p>
    <w:p w14:paraId="0AAD469C" w14:textId="77777777" w:rsidR="00467739" w:rsidRPr="00E85EC1" w:rsidRDefault="00467739" w:rsidP="00467739">
      <w:pPr>
        <w:tabs>
          <w:tab w:val="left" w:pos="322"/>
        </w:tabs>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1.</w:t>
      </w:r>
      <w:r w:rsidRPr="00E85EC1">
        <w:rPr>
          <w:rFonts w:ascii="Times New Roman" w:hAnsi="Times New Roman" w:cs="Times New Roman"/>
          <w:sz w:val="18"/>
          <w:szCs w:val="18"/>
        </w:rPr>
        <w:tab/>
        <w:t>запрещается использование инсайдерской информации:</w:t>
      </w:r>
    </w:p>
    <w:p w14:paraId="347A7C3B" w14:textId="77777777" w:rsidR="00467739" w:rsidRPr="00E85EC1" w:rsidRDefault="00467739" w:rsidP="00467739">
      <w:pPr>
        <w:numPr>
          <w:ilvl w:val="0"/>
          <w:numId w:val="14"/>
        </w:numPr>
        <w:tabs>
          <w:tab w:val="clear" w:pos="720"/>
          <w:tab w:val="num" w:pos="318"/>
        </w:tabs>
        <w:spacing w:before="120" w:after="120" w:line="240" w:lineRule="auto"/>
        <w:ind w:left="318" w:hanging="318"/>
        <w:mirrorIndents/>
        <w:jc w:val="both"/>
        <w:rPr>
          <w:rFonts w:ascii="Times New Roman" w:eastAsia="MS Gothic" w:hAnsi="Times New Roman" w:cs="Times New Roman"/>
          <w:sz w:val="18"/>
          <w:szCs w:val="18"/>
        </w:rPr>
      </w:pPr>
      <w:r w:rsidRPr="00E85EC1">
        <w:rPr>
          <w:rFonts w:ascii="Times New Roman" w:eastAsia="MS Gothic" w:hAnsi="Times New Roman" w:cs="Times New Roman"/>
          <w:sz w:val="18"/>
          <w:szCs w:val="18"/>
        </w:rPr>
        <w:t>для осуществления операций с финансовыми инструментами, иностранной валютой и (или) товарами, которых касается инсайдерская информация, за свой счет или за счет третьего лица, за исключением совершения операций в рамках исполнения обязательства по покупке или продаже финансовых инструментов, иностранной валюты и (или) товаров, срок исполнения которого наступил, если такое обязательство возникло в результате операции, совершенной до того, как лицу стала известна инсайдерская информация;</w:t>
      </w:r>
    </w:p>
    <w:p w14:paraId="59FCA7B1" w14:textId="77777777" w:rsidR="00467739" w:rsidRPr="00E85EC1" w:rsidRDefault="00467739" w:rsidP="00467739">
      <w:pPr>
        <w:numPr>
          <w:ilvl w:val="0"/>
          <w:numId w:val="14"/>
        </w:numPr>
        <w:tabs>
          <w:tab w:val="clear" w:pos="720"/>
          <w:tab w:val="num" w:pos="318"/>
        </w:tabs>
        <w:spacing w:before="120" w:after="120" w:line="240" w:lineRule="auto"/>
        <w:ind w:left="318" w:hanging="318"/>
        <w:mirrorIndents/>
        <w:jc w:val="both"/>
        <w:rPr>
          <w:rFonts w:ascii="Times New Roman" w:eastAsia="MS Gothic" w:hAnsi="Times New Roman" w:cs="Times New Roman"/>
          <w:sz w:val="18"/>
          <w:szCs w:val="18"/>
        </w:rPr>
      </w:pPr>
      <w:r w:rsidRPr="00E85EC1">
        <w:rPr>
          <w:rFonts w:ascii="Times New Roman" w:eastAsia="MS Gothic" w:hAnsi="Times New Roman" w:cs="Times New Roman"/>
          <w:sz w:val="18"/>
          <w:szCs w:val="18"/>
        </w:rPr>
        <w:t>путем передачи ее другому лицу, за исключением случаев передачи этой информации лицу, включенному в список инсайдеров, в связи с исполнением обязанностей, установленных федеральными законами, либо в связи с исполнением трудовых обязанностей или исполнением договора;</w:t>
      </w:r>
    </w:p>
    <w:p w14:paraId="4CBA1D59" w14:textId="77777777" w:rsidR="00467739" w:rsidRPr="00E85EC1" w:rsidRDefault="00467739" w:rsidP="00467739">
      <w:pPr>
        <w:numPr>
          <w:ilvl w:val="0"/>
          <w:numId w:val="14"/>
        </w:numPr>
        <w:tabs>
          <w:tab w:val="clear" w:pos="720"/>
          <w:tab w:val="num" w:pos="318"/>
        </w:tabs>
        <w:spacing w:before="120" w:after="120" w:line="240" w:lineRule="auto"/>
        <w:ind w:left="318" w:hanging="318"/>
        <w:mirrorIndents/>
        <w:jc w:val="both"/>
        <w:rPr>
          <w:rFonts w:ascii="Times New Roman" w:eastAsia="MS Gothic" w:hAnsi="Times New Roman" w:cs="Times New Roman"/>
          <w:sz w:val="18"/>
          <w:szCs w:val="18"/>
        </w:rPr>
      </w:pPr>
      <w:r w:rsidRPr="00E85EC1">
        <w:rPr>
          <w:rFonts w:ascii="Times New Roman" w:eastAsia="MS Gothic" w:hAnsi="Times New Roman" w:cs="Times New Roman"/>
          <w:sz w:val="18"/>
          <w:szCs w:val="18"/>
        </w:rPr>
        <w:t>путем дачи рекомендаций третьим лицам, обязывания или побуждения их иным образом к приобретению или продаже финансовых инструментов, иностранной валюты и (или) товаров.</w:t>
      </w:r>
    </w:p>
    <w:p w14:paraId="1B04B654" w14:textId="77777777" w:rsidR="00467739" w:rsidRPr="00E85EC1" w:rsidRDefault="00467739" w:rsidP="00467739">
      <w:pPr>
        <w:tabs>
          <w:tab w:val="left" w:pos="322"/>
        </w:tabs>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2.</w:t>
      </w:r>
      <w:r w:rsidRPr="00E85EC1">
        <w:rPr>
          <w:rFonts w:ascii="Times New Roman" w:hAnsi="Times New Roman" w:cs="Times New Roman"/>
          <w:sz w:val="18"/>
          <w:szCs w:val="18"/>
        </w:rPr>
        <w:tab/>
        <w:t>запрещается осуществлять действия, относящиеся в соответствии с Законом к манипулированию рынком.</w:t>
      </w:r>
    </w:p>
    <w:p w14:paraId="1ED36393" w14:textId="77777777" w:rsidR="00467739" w:rsidRPr="00E85EC1" w:rsidRDefault="00467739" w:rsidP="00467739">
      <w:pPr>
        <w:tabs>
          <w:tab w:val="left" w:pos="1134"/>
        </w:tabs>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В целях соблюдения установленных законодательством требований, направленных на противодействие манипулированию рынком и неправомерному использованию инсайдерской информации Клиент уведомляется:</w:t>
      </w:r>
    </w:p>
    <w:p w14:paraId="2E9FB494" w14:textId="77777777" w:rsidR="00467739" w:rsidRPr="00E85EC1" w:rsidRDefault="00467739" w:rsidP="00467739">
      <w:pPr>
        <w:numPr>
          <w:ilvl w:val="0"/>
          <w:numId w:val="14"/>
        </w:numPr>
        <w:tabs>
          <w:tab w:val="clear" w:pos="720"/>
          <w:tab w:val="num" w:pos="318"/>
        </w:tabs>
        <w:spacing w:before="120" w:after="120" w:line="240" w:lineRule="auto"/>
        <w:ind w:left="318" w:hanging="318"/>
        <w:mirrorIndents/>
        <w:jc w:val="both"/>
        <w:rPr>
          <w:rFonts w:ascii="Times New Roman" w:eastAsia="MS Gothic" w:hAnsi="Times New Roman" w:cs="Times New Roman"/>
          <w:sz w:val="18"/>
          <w:szCs w:val="18"/>
        </w:rPr>
      </w:pPr>
      <w:r w:rsidRPr="00E85EC1">
        <w:rPr>
          <w:rFonts w:ascii="Times New Roman" w:eastAsia="MS Gothic" w:hAnsi="Times New Roman" w:cs="Times New Roman"/>
          <w:sz w:val="18"/>
          <w:szCs w:val="18"/>
        </w:rPr>
        <w:t>о недопустимости подачи поручений на совершение сделок, которые могут содержать признаки действий, относимых законодательством к манипулированию рынком, а также поручений с использованием инсайдерской информации;</w:t>
      </w:r>
    </w:p>
    <w:p w14:paraId="3FDF51C1" w14:textId="77777777" w:rsidR="00467739" w:rsidRPr="00E85EC1" w:rsidRDefault="00467739" w:rsidP="00467739">
      <w:pPr>
        <w:numPr>
          <w:ilvl w:val="0"/>
          <w:numId w:val="14"/>
        </w:numPr>
        <w:tabs>
          <w:tab w:val="clear" w:pos="720"/>
          <w:tab w:val="num" w:pos="318"/>
        </w:tabs>
        <w:spacing w:before="120" w:after="120" w:line="240" w:lineRule="auto"/>
        <w:ind w:left="318" w:hanging="318"/>
        <w:mirrorIndents/>
        <w:jc w:val="both"/>
        <w:rPr>
          <w:rFonts w:ascii="Times New Roman" w:eastAsia="MS Gothic" w:hAnsi="Times New Roman" w:cs="Times New Roman"/>
          <w:sz w:val="18"/>
          <w:szCs w:val="18"/>
        </w:rPr>
      </w:pPr>
      <w:r w:rsidRPr="00E85EC1">
        <w:rPr>
          <w:rFonts w:ascii="Times New Roman" w:eastAsia="MS Gothic" w:hAnsi="Times New Roman" w:cs="Times New Roman"/>
          <w:sz w:val="18"/>
          <w:szCs w:val="18"/>
        </w:rPr>
        <w:t>о необходимости уведомлять Компанию о получении доступа к инсайдерской информации (и/или непосредственно инсайдерской информации), о возникновении обстоятельств, в результате которых Клиент должен быть включен или исключен из списка инсайдеров Компании, а также о фактическом включении или исключении из списка инсайдеров третьих лиц;</w:t>
      </w:r>
    </w:p>
    <w:p w14:paraId="75503798" w14:textId="77777777" w:rsidR="00467739" w:rsidRPr="00E85EC1" w:rsidRDefault="00467739" w:rsidP="00467739">
      <w:pPr>
        <w:numPr>
          <w:ilvl w:val="0"/>
          <w:numId w:val="14"/>
        </w:numPr>
        <w:tabs>
          <w:tab w:val="clear" w:pos="720"/>
          <w:tab w:val="num" w:pos="318"/>
        </w:tabs>
        <w:spacing w:before="120" w:after="120" w:line="240" w:lineRule="auto"/>
        <w:ind w:left="318" w:hanging="318"/>
        <w:mirrorIndents/>
        <w:jc w:val="both"/>
        <w:rPr>
          <w:rFonts w:ascii="Times New Roman" w:eastAsia="MS Gothic" w:hAnsi="Times New Roman" w:cs="Times New Roman"/>
          <w:sz w:val="18"/>
          <w:szCs w:val="18"/>
        </w:rPr>
      </w:pPr>
      <w:r w:rsidRPr="00E85EC1">
        <w:rPr>
          <w:rFonts w:ascii="Times New Roman" w:eastAsia="MS Gothic" w:hAnsi="Times New Roman" w:cs="Times New Roman"/>
          <w:sz w:val="18"/>
          <w:szCs w:val="18"/>
        </w:rPr>
        <w:t>о необходимости обеспечивать наличие в сведениях и документах, передаваемых Компании, прямого указания на то, что данные сведения или документы являются инсайдерскими или содержат инсайдерскую информацию;</w:t>
      </w:r>
    </w:p>
    <w:p w14:paraId="2171C44C" w14:textId="77777777" w:rsidR="00467739" w:rsidRPr="00E85EC1" w:rsidRDefault="00467739" w:rsidP="00467739">
      <w:pPr>
        <w:numPr>
          <w:ilvl w:val="0"/>
          <w:numId w:val="14"/>
        </w:numPr>
        <w:tabs>
          <w:tab w:val="clear" w:pos="720"/>
          <w:tab w:val="num" w:pos="318"/>
        </w:tabs>
        <w:spacing w:before="120" w:after="120" w:line="240" w:lineRule="auto"/>
        <w:ind w:left="318" w:hanging="318"/>
        <w:mirrorIndents/>
        <w:jc w:val="both"/>
        <w:rPr>
          <w:rFonts w:ascii="Times New Roman" w:eastAsia="MS Gothic" w:hAnsi="Times New Roman" w:cs="Times New Roman"/>
          <w:sz w:val="18"/>
          <w:szCs w:val="18"/>
        </w:rPr>
      </w:pPr>
      <w:r w:rsidRPr="00E85EC1">
        <w:rPr>
          <w:rFonts w:ascii="Times New Roman" w:eastAsia="MS Gothic" w:hAnsi="Times New Roman" w:cs="Times New Roman"/>
          <w:sz w:val="18"/>
          <w:szCs w:val="18"/>
        </w:rPr>
        <w:t>о личной ответственности Клиента, в том числе административной и уголовной, за совершенную Компанией операцию в интересах Клиента, сопровождающуюся неправомерным использованием инсайдерской информации и (или) являющуюся манипулированием рынком, если указанная операция совершена по поручению (распоряжению) Клиента.</w:t>
      </w:r>
    </w:p>
    <w:p w14:paraId="248457AD" w14:textId="77777777" w:rsidR="00467739" w:rsidRPr="00E85EC1" w:rsidRDefault="00467739" w:rsidP="00467739">
      <w:pPr>
        <w:tabs>
          <w:tab w:val="left" w:pos="1134"/>
        </w:tabs>
        <w:spacing w:before="120" w:after="120" w:line="240" w:lineRule="auto"/>
        <w:mirrorIndents/>
        <w:jc w:val="both"/>
        <w:rPr>
          <w:rFonts w:ascii="Times New Roman" w:hAnsi="Times New Roman" w:cs="Times New Roman"/>
          <w:sz w:val="18"/>
          <w:szCs w:val="18"/>
        </w:rPr>
      </w:pPr>
      <w:r w:rsidRPr="00E85EC1">
        <w:rPr>
          <w:rFonts w:ascii="Times New Roman" w:hAnsi="Times New Roman" w:cs="Times New Roman"/>
          <w:sz w:val="18"/>
          <w:szCs w:val="18"/>
        </w:rPr>
        <w:t>Компания вправе по своему усмотрению проводить проверку любой сделки или операции Клиента, в отношении которой у Компании есть основания полагать, что данная сделка или операция направлена на манипулирование рынком или совершена с использованием инсайдерской информации. В целях недопущения и выявления сделок и операций, направленных на манипулирование рынком или использование инсайдерской информации, в том числе при проведении указанной проверки, Компания вправе запросить у Клиента, а Клиент обязан предоставить в течение 5 рабочих дней письменные разъяснения, документы и любые другие сведения, запрашиваемые Компанией. Компания вправе направить информацию о факте проведения и результатах такой проверки организатору торговли, в Банк России или иной уполномоченный орган государственной власти.</w:t>
      </w:r>
    </w:p>
    <w:p w14:paraId="042446F1" w14:textId="77777777" w:rsidR="00467739" w:rsidRPr="00E85EC1" w:rsidRDefault="00467739" w:rsidP="00E85EC1">
      <w:pPr>
        <w:pStyle w:val="a3"/>
        <w:numPr>
          <w:ilvl w:val="0"/>
          <w:numId w:val="15"/>
        </w:numPr>
        <w:autoSpaceDE w:val="0"/>
        <w:autoSpaceDN w:val="0"/>
        <w:adjustRightInd w:val="0"/>
        <w:spacing w:before="120" w:after="120" w:line="240" w:lineRule="auto"/>
        <w:mirrorIndents/>
        <w:jc w:val="both"/>
        <w:rPr>
          <w:rFonts w:ascii="Times New Roman" w:eastAsia="MS Gothic" w:hAnsi="Times New Roman" w:cs="Times New Roman"/>
          <w:b/>
          <w:sz w:val="20"/>
          <w:szCs w:val="20"/>
        </w:rPr>
      </w:pPr>
      <w:r w:rsidRPr="00E85EC1">
        <w:rPr>
          <w:rFonts w:ascii="Times New Roman" w:eastAsia="MS Gothic" w:hAnsi="Times New Roman" w:cs="Times New Roman"/>
          <w:b/>
          <w:sz w:val="20"/>
          <w:szCs w:val="20"/>
        </w:rPr>
        <w:t>Уведомление физического лица – получателя финансовых услуг о наличии информационных документов</w:t>
      </w:r>
    </w:p>
    <w:p w14:paraId="614DE860" w14:textId="68CA6D00" w:rsidR="00806DEE" w:rsidRPr="00E85EC1" w:rsidRDefault="00806DEE" w:rsidP="00561A24">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 xml:space="preserve">Компания уведомляет Клиента-физического лица, что на странице Компании в сети «Интернет» по адресу </w:t>
      </w:r>
      <w:r w:rsidR="008C72FB" w:rsidRPr="00902781">
        <w:rPr>
          <w:rFonts w:ascii="Times New Roman" w:eastAsia="MS Gothic" w:hAnsi="Times New Roman"/>
          <w:sz w:val="16"/>
          <w:szCs w:val="16"/>
        </w:rPr>
        <w:t>https://www. ikhorizon.ru</w:t>
      </w:r>
      <w:r w:rsidR="008C72FB" w:rsidRPr="00E85EC1">
        <w:rPr>
          <w:rFonts w:ascii="Times New Roman" w:hAnsi="Times New Roman" w:cs="Times New Roman"/>
          <w:sz w:val="18"/>
          <w:szCs w:val="18"/>
        </w:rPr>
        <w:t xml:space="preserve"> </w:t>
      </w:r>
      <w:r w:rsidR="008C72FB">
        <w:rPr>
          <w:rFonts w:ascii="Times New Roman" w:hAnsi="Times New Roman" w:cs="Times New Roman"/>
          <w:sz w:val="18"/>
          <w:szCs w:val="18"/>
        </w:rPr>
        <w:t xml:space="preserve"> </w:t>
      </w:r>
      <w:r w:rsidRPr="00E85EC1">
        <w:rPr>
          <w:rFonts w:ascii="Times New Roman" w:hAnsi="Times New Roman" w:cs="Times New Roman"/>
          <w:sz w:val="18"/>
          <w:szCs w:val="18"/>
        </w:rPr>
        <w:t xml:space="preserve">размещены информационные документы в отношении обыкновенных акций российских акционерных обществ, привилегированных акций российских акционерных обществах и фьючерсных договоров (контрактов), обыкновенных облигаций российских эмитентов (под обыкновенной облигацией понимается облигация, не являющаяся структурной облигацией, облигацией со структурным доходом, субординированной облигацией, облигацией без срока погашения, конвертируемой облигацией, коммерческой облигацией, облигацией федерального займа для физических лиц (ОФЗ-н), замещающей облигацией (облигацией, предусмотренной ст. 6 Федерального закона от 14.07.2022 № 319-ФЗ «О внесении изменений в отдельные законодательные акты Российской Федерации»), облигацией с залоговым обеспечением </w:t>
      </w:r>
      <w:r w:rsidRPr="00E85EC1">
        <w:rPr>
          <w:rFonts w:ascii="Times New Roman" w:hAnsi="Times New Roman" w:cs="Times New Roman"/>
          <w:sz w:val="18"/>
          <w:szCs w:val="18"/>
        </w:rPr>
        <w:lastRenderedPageBreak/>
        <w:t>денежными требованиями), облигаций федерального займа для физических лиц (ОФЗ-н), иностранных депозитарных расписок на акции.</w:t>
      </w:r>
    </w:p>
    <w:p w14:paraId="08DED0FA" w14:textId="61C8CA0C" w:rsidR="00C1435F" w:rsidRPr="00E85EC1" w:rsidRDefault="00467739" w:rsidP="00561A24">
      <w:pPr>
        <w:autoSpaceDE w:val="0"/>
        <w:autoSpaceDN w:val="0"/>
        <w:adjustRightInd w:val="0"/>
        <w:spacing w:after="120" w:line="240" w:lineRule="auto"/>
        <w:jc w:val="both"/>
        <w:rPr>
          <w:rFonts w:ascii="Times New Roman" w:hAnsi="Times New Roman" w:cs="Times New Roman"/>
          <w:sz w:val="18"/>
          <w:szCs w:val="18"/>
        </w:rPr>
      </w:pPr>
      <w:r w:rsidRPr="00E85EC1">
        <w:rPr>
          <w:rFonts w:ascii="Times New Roman" w:hAnsi="Times New Roman" w:cs="Times New Roman"/>
          <w:sz w:val="18"/>
          <w:szCs w:val="18"/>
        </w:rPr>
        <w:t>Компания рекомендует ознакомиться с указанными информационными документами до начала подачи поручений.</w:t>
      </w:r>
    </w:p>
    <w:sectPr w:rsidR="00C1435F" w:rsidRPr="00E85EC1" w:rsidSect="00481756">
      <w:pgSz w:w="11906" w:h="16838" w:code="9"/>
      <w:pgMar w:top="1134" w:right="851" w:bottom="993" w:left="1701" w:header="425"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2C1DF" w14:textId="77777777" w:rsidR="007F15AC" w:rsidRDefault="007F15AC" w:rsidP="00B55F87">
      <w:pPr>
        <w:spacing w:after="0" w:line="240" w:lineRule="auto"/>
      </w:pPr>
      <w:r>
        <w:separator/>
      </w:r>
    </w:p>
  </w:endnote>
  <w:endnote w:type="continuationSeparator" w:id="0">
    <w:p w14:paraId="34D2C84C" w14:textId="77777777" w:rsidR="007F15AC" w:rsidRDefault="007F15AC" w:rsidP="00B55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82D08" w14:textId="77777777" w:rsidR="007F15AC" w:rsidRDefault="007F15AC" w:rsidP="00B55F87">
      <w:pPr>
        <w:spacing w:after="0" w:line="240" w:lineRule="auto"/>
      </w:pPr>
      <w:r>
        <w:separator/>
      </w:r>
    </w:p>
  </w:footnote>
  <w:footnote w:type="continuationSeparator" w:id="0">
    <w:p w14:paraId="70EEB312" w14:textId="77777777" w:rsidR="007F15AC" w:rsidRDefault="007F15AC" w:rsidP="00B55F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548AF"/>
    <w:multiLevelType w:val="hybridMultilevel"/>
    <w:tmpl w:val="2402D77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B431535"/>
    <w:multiLevelType w:val="hybridMultilevel"/>
    <w:tmpl w:val="B0BA59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C870A7"/>
    <w:multiLevelType w:val="hybridMultilevel"/>
    <w:tmpl w:val="8598B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9A3AA1"/>
    <w:multiLevelType w:val="hybridMultilevel"/>
    <w:tmpl w:val="3B2A0BB6"/>
    <w:lvl w:ilvl="0" w:tplc="BA7805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4468D9"/>
    <w:multiLevelType w:val="hybridMultilevel"/>
    <w:tmpl w:val="5B1E0F6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421FA2"/>
    <w:multiLevelType w:val="hybridMultilevel"/>
    <w:tmpl w:val="B132583A"/>
    <w:lvl w:ilvl="0" w:tplc="1DEA14F6">
      <w:start w:val="1"/>
      <w:numFmt w:val="decimal"/>
      <w:lvlText w:val="%1."/>
      <w:lvlJc w:val="left"/>
      <w:pPr>
        <w:ind w:left="394" w:hanging="360"/>
      </w:pPr>
      <w:rPr>
        <w:rFonts w:hint="default"/>
        <w:b w:val="0"/>
        <w:sz w:val="16"/>
        <w:szCs w:val="16"/>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15:restartNumberingAfterBreak="0">
    <w:nsid w:val="439F7926"/>
    <w:multiLevelType w:val="hybridMultilevel"/>
    <w:tmpl w:val="2E364876"/>
    <w:lvl w:ilvl="0" w:tplc="6504E0A0">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97174A"/>
    <w:multiLevelType w:val="hybridMultilevel"/>
    <w:tmpl w:val="576E89EA"/>
    <w:lvl w:ilvl="0" w:tplc="863C1F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B66DA9"/>
    <w:multiLevelType w:val="hybridMultilevel"/>
    <w:tmpl w:val="6E4E2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603D2B"/>
    <w:multiLevelType w:val="hybridMultilevel"/>
    <w:tmpl w:val="2E364876"/>
    <w:lvl w:ilvl="0" w:tplc="6504E0A0">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C21DDF"/>
    <w:multiLevelType w:val="hybridMultilevel"/>
    <w:tmpl w:val="B71AE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B7022BC"/>
    <w:multiLevelType w:val="hybridMultilevel"/>
    <w:tmpl w:val="1AF6D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EA6D20"/>
    <w:multiLevelType w:val="multilevel"/>
    <w:tmpl w:val="D7FEA758"/>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F7C485C"/>
    <w:multiLevelType w:val="hybridMultilevel"/>
    <w:tmpl w:val="E5BA9AC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4FB19A6"/>
    <w:multiLevelType w:val="hybridMultilevel"/>
    <w:tmpl w:val="9E70A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6A706B"/>
    <w:multiLevelType w:val="hybridMultilevel"/>
    <w:tmpl w:val="7B3E5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8"/>
  </w:num>
  <w:num w:numId="5">
    <w:abstractNumId w:val="2"/>
  </w:num>
  <w:num w:numId="6">
    <w:abstractNumId w:val="10"/>
  </w:num>
  <w:num w:numId="7">
    <w:abstractNumId w:val="4"/>
  </w:num>
  <w:num w:numId="8">
    <w:abstractNumId w:val="13"/>
  </w:num>
  <w:num w:numId="9">
    <w:abstractNumId w:val="15"/>
  </w:num>
  <w:num w:numId="10">
    <w:abstractNumId w:val="11"/>
  </w:num>
  <w:num w:numId="11">
    <w:abstractNumId w:val="14"/>
  </w:num>
  <w:num w:numId="12">
    <w:abstractNumId w:val="9"/>
  </w:num>
  <w:num w:numId="13">
    <w:abstractNumId w:val="5"/>
  </w:num>
  <w:num w:numId="14">
    <w:abstractNumId w:val="0"/>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08"/>
  <w:drawingGridHorizontalSpacing w:val="11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DB7"/>
    <w:rsid w:val="000022A3"/>
    <w:rsid w:val="00002860"/>
    <w:rsid w:val="00011345"/>
    <w:rsid w:val="0001149D"/>
    <w:rsid w:val="00032D8D"/>
    <w:rsid w:val="000A4428"/>
    <w:rsid w:val="000D633C"/>
    <w:rsid w:val="00114C46"/>
    <w:rsid w:val="0011706A"/>
    <w:rsid w:val="001936C6"/>
    <w:rsid w:val="00196CAE"/>
    <w:rsid w:val="001D2404"/>
    <w:rsid w:val="001E3FDE"/>
    <w:rsid w:val="002D0BB7"/>
    <w:rsid w:val="00301AB7"/>
    <w:rsid w:val="00323E30"/>
    <w:rsid w:val="0036478D"/>
    <w:rsid w:val="00370C69"/>
    <w:rsid w:val="003B7742"/>
    <w:rsid w:val="003F3A49"/>
    <w:rsid w:val="0040768D"/>
    <w:rsid w:val="00415599"/>
    <w:rsid w:val="00467739"/>
    <w:rsid w:val="00481756"/>
    <w:rsid w:val="0049717B"/>
    <w:rsid w:val="004B6FC1"/>
    <w:rsid w:val="00535FA1"/>
    <w:rsid w:val="00543B39"/>
    <w:rsid w:val="00555E7C"/>
    <w:rsid w:val="00561A24"/>
    <w:rsid w:val="0057117E"/>
    <w:rsid w:val="005E3000"/>
    <w:rsid w:val="00605879"/>
    <w:rsid w:val="00687BDA"/>
    <w:rsid w:val="006A1538"/>
    <w:rsid w:val="006F6517"/>
    <w:rsid w:val="00762C07"/>
    <w:rsid w:val="00776635"/>
    <w:rsid w:val="00784068"/>
    <w:rsid w:val="00797C26"/>
    <w:rsid w:val="007A1D4D"/>
    <w:rsid w:val="007F15AC"/>
    <w:rsid w:val="00806DEE"/>
    <w:rsid w:val="00807A7A"/>
    <w:rsid w:val="00850BE0"/>
    <w:rsid w:val="00883B36"/>
    <w:rsid w:val="008B5427"/>
    <w:rsid w:val="008C72FB"/>
    <w:rsid w:val="00902A94"/>
    <w:rsid w:val="0090551B"/>
    <w:rsid w:val="009A0E89"/>
    <w:rsid w:val="00A52F76"/>
    <w:rsid w:val="00A64AFC"/>
    <w:rsid w:val="00A754E0"/>
    <w:rsid w:val="00A90B65"/>
    <w:rsid w:val="00A93703"/>
    <w:rsid w:val="00A97CA0"/>
    <w:rsid w:val="00B55F87"/>
    <w:rsid w:val="00B90565"/>
    <w:rsid w:val="00BA68D4"/>
    <w:rsid w:val="00BB27A9"/>
    <w:rsid w:val="00BE1AC9"/>
    <w:rsid w:val="00C1435F"/>
    <w:rsid w:val="00C149E9"/>
    <w:rsid w:val="00C21651"/>
    <w:rsid w:val="00C31B55"/>
    <w:rsid w:val="00CD72D7"/>
    <w:rsid w:val="00CF02BA"/>
    <w:rsid w:val="00CF7660"/>
    <w:rsid w:val="00D02922"/>
    <w:rsid w:val="00D525B5"/>
    <w:rsid w:val="00DB1359"/>
    <w:rsid w:val="00DC2F7D"/>
    <w:rsid w:val="00DE0E5B"/>
    <w:rsid w:val="00E06CA5"/>
    <w:rsid w:val="00E57CAC"/>
    <w:rsid w:val="00E70936"/>
    <w:rsid w:val="00E73DB0"/>
    <w:rsid w:val="00E85EC1"/>
    <w:rsid w:val="00EA1DB7"/>
    <w:rsid w:val="00EF2511"/>
    <w:rsid w:val="00EF3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4B2AE"/>
  <w15:chartTrackingRefBased/>
  <w15:docId w15:val="{C1866E03-F751-4A1B-BFDD-A71600D45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02BA"/>
    <w:pPr>
      <w:ind w:left="720"/>
      <w:contextualSpacing/>
    </w:pPr>
  </w:style>
  <w:style w:type="paragraph" w:styleId="a4">
    <w:name w:val="Balloon Text"/>
    <w:basedOn w:val="a"/>
    <w:link w:val="a5"/>
    <w:uiPriority w:val="99"/>
    <w:semiHidden/>
    <w:unhideWhenUsed/>
    <w:rsid w:val="000022A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022A3"/>
    <w:rPr>
      <w:rFonts w:ascii="Segoe UI" w:hAnsi="Segoe UI" w:cs="Segoe UI"/>
      <w:sz w:val="18"/>
      <w:szCs w:val="18"/>
    </w:rPr>
  </w:style>
  <w:style w:type="character" w:styleId="a6">
    <w:name w:val="annotation reference"/>
    <w:basedOn w:val="a0"/>
    <w:uiPriority w:val="99"/>
    <w:semiHidden/>
    <w:unhideWhenUsed/>
    <w:rsid w:val="00A64AFC"/>
    <w:rPr>
      <w:sz w:val="16"/>
      <w:szCs w:val="16"/>
    </w:rPr>
  </w:style>
  <w:style w:type="paragraph" w:styleId="a7">
    <w:name w:val="annotation text"/>
    <w:basedOn w:val="a"/>
    <w:link w:val="a8"/>
    <w:uiPriority w:val="99"/>
    <w:semiHidden/>
    <w:unhideWhenUsed/>
    <w:rsid w:val="00A64AFC"/>
    <w:pPr>
      <w:spacing w:line="240" w:lineRule="auto"/>
    </w:pPr>
    <w:rPr>
      <w:sz w:val="20"/>
      <w:szCs w:val="20"/>
    </w:rPr>
  </w:style>
  <w:style w:type="character" w:customStyle="1" w:styleId="a8">
    <w:name w:val="Текст примечания Знак"/>
    <w:basedOn w:val="a0"/>
    <w:link w:val="a7"/>
    <w:uiPriority w:val="99"/>
    <w:semiHidden/>
    <w:rsid w:val="00A64AFC"/>
    <w:rPr>
      <w:sz w:val="20"/>
      <w:szCs w:val="20"/>
    </w:rPr>
  </w:style>
  <w:style w:type="paragraph" w:styleId="a9">
    <w:name w:val="annotation subject"/>
    <w:basedOn w:val="a7"/>
    <w:next w:val="a7"/>
    <w:link w:val="aa"/>
    <w:uiPriority w:val="99"/>
    <w:semiHidden/>
    <w:unhideWhenUsed/>
    <w:rsid w:val="00A64AFC"/>
    <w:rPr>
      <w:b/>
      <w:bCs/>
    </w:rPr>
  </w:style>
  <w:style w:type="character" w:customStyle="1" w:styleId="aa">
    <w:name w:val="Тема примечания Знак"/>
    <w:basedOn w:val="a8"/>
    <w:link w:val="a9"/>
    <w:uiPriority w:val="99"/>
    <w:semiHidden/>
    <w:rsid w:val="00A64AFC"/>
    <w:rPr>
      <w:b/>
      <w:bCs/>
      <w:sz w:val="20"/>
      <w:szCs w:val="20"/>
    </w:rPr>
  </w:style>
  <w:style w:type="character" w:styleId="ab">
    <w:name w:val="Hyperlink"/>
    <w:basedOn w:val="a0"/>
    <w:uiPriority w:val="99"/>
    <w:unhideWhenUsed/>
    <w:rsid w:val="00467739"/>
    <w:rPr>
      <w:color w:val="0563C1" w:themeColor="hyperlink"/>
      <w:u w:val="single"/>
    </w:rPr>
  </w:style>
  <w:style w:type="paragraph" w:styleId="ac">
    <w:name w:val="header"/>
    <w:basedOn w:val="a"/>
    <w:link w:val="ad"/>
    <w:rsid w:val="00C149E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rsid w:val="00C149E9"/>
    <w:rPr>
      <w:rFonts w:ascii="Times New Roman" w:eastAsia="Times New Roman" w:hAnsi="Times New Roman" w:cs="Times New Roman"/>
      <w:sz w:val="24"/>
      <w:szCs w:val="24"/>
    </w:rPr>
  </w:style>
  <w:style w:type="character" w:styleId="ae">
    <w:name w:val="Unresolved Mention"/>
    <w:basedOn w:val="a0"/>
    <w:uiPriority w:val="99"/>
    <w:semiHidden/>
    <w:unhideWhenUsed/>
    <w:rsid w:val="003B7742"/>
    <w:rPr>
      <w:color w:val="605E5C"/>
      <w:shd w:val="clear" w:color="auto" w:fill="E1DFDD"/>
    </w:rPr>
  </w:style>
  <w:style w:type="paragraph" w:styleId="af">
    <w:name w:val="footer"/>
    <w:basedOn w:val="a"/>
    <w:link w:val="af0"/>
    <w:uiPriority w:val="99"/>
    <w:unhideWhenUsed/>
    <w:rsid w:val="00B55F8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55F87"/>
  </w:style>
  <w:style w:type="table" w:styleId="af1">
    <w:name w:val="Table Grid"/>
    <w:basedOn w:val="a1"/>
    <w:uiPriority w:val="39"/>
    <w:rsid w:val="00B55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7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61F46-9E62-4ABC-AFFC-ADFFF85EE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9871</Words>
  <Characters>56267</Characters>
  <Application>Microsoft Office Word</Application>
  <DocSecurity>0</DocSecurity>
  <Lines>468</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Рыженко Денис Анатольевич</dc:creator>
  <cp:keywords/>
  <dc:description/>
  <cp:lastModifiedBy>Фалин Алексей Иванович</cp:lastModifiedBy>
  <cp:revision>3</cp:revision>
  <dcterms:created xsi:type="dcterms:W3CDTF">2025-02-17T09:52:00Z</dcterms:created>
  <dcterms:modified xsi:type="dcterms:W3CDTF">2025-02-17T09:52:00Z</dcterms:modified>
</cp:coreProperties>
</file>